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35CE9">
      <w:pPr>
        <w:pStyle w:val="7"/>
        <w:snapToGrid w:val="0"/>
        <w:jc w:val="center"/>
        <w:rPr>
          <w:rFonts w:ascii="Times New Roman" w:hAnsi="Times New Roman" w:cs="Times New Roman"/>
          <w:b/>
          <w:bCs/>
          <w:sz w:val="32"/>
          <w:szCs w:val="32"/>
        </w:rPr>
      </w:pPr>
      <w:r>
        <w:rPr>
          <w:rFonts w:ascii="Times New Roman" w:hAnsi="Times New Roman" w:cs="Times New Roman"/>
          <w:b/>
          <w:bCs/>
          <w:sz w:val="32"/>
          <w:szCs w:val="32"/>
        </w:rPr>
        <w:t>National Central University</w:t>
      </w:r>
    </w:p>
    <w:p w14:paraId="1FB005ED">
      <w:pPr>
        <w:pStyle w:val="7"/>
        <w:snapToGrid w:val="0"/>
        <w:jc w:val="center"/>
        <w:rPr>
          <w:rFonts w:ascii="Times New Roman" w:hAnsi="Times New Roman" w:cs="Times New Roman"/>
          <w:b/>
          <w:bCs/>
          <w:sz w:val="28"/>
          <w:szCs w:val="28"/>
        </w:rPr>
      </w:pPr>
      <w:r>
        <w:rPr>
          <w:rFonts w:ascii="Times New Roman" w:hAnsi="Times New Roman" w:cs="Times New Roman"/>
          <w:b/>
          <w:bCs/>
          <w:sz w:val="28"/>
          <w:szCs w:val="28"/>
        </w:rPr>
        <w:t>Department of Information Management</w:t>
      </w:r>
    </w:p>
    <w:p w14:paraId="3EE0202D">
      <w:pPr>
        <w:pStyle w:val="7"/>
        <w:snapToGrid w:val="0"/>
        <w:jc w:val="center"/>
        <w:rPr>
          <w:rFonts w:ascii="Times New Roman" w:hAnsi="Times New Roman" w:cs="Times New Roman"/>
          <w:b/>
          <w:bCs/>
          <w:sz w:val="28"/>
          <w:szCs w:val="28"/>
        </w:rPr>
      </w:pPr>
      <w:r>
        <w:rPr>
          <w:rFonts w:ascii="Times New Roman" w:hAnsi="Times New Roman" w:eastAsia="SimSun" w:cs="Times New Roman"/>
          <w:b/>
          <w:bCs/>
          <w:sz w:val="28"/>
          <w:szCs w:val="28"/>
        </w:rPr>
        <w:t xml:space="preserve">Regulations for </w:t>
      </w:r>
      <w:r>
        <w:rPr>
          <w:rFonts w:hint="eastAsia" w:ascii="Times New Roman" w:hAnsi="Times New Roman" w:eastAsia="新細明體" w:cs="Times New Roman"/>
          <w:b/>
          <w:bCs/>
          <w:sz w:val="28"/>
          <w:szCs w:val="28"/>
          <w:lang w:val="en-US" w:eastAsia="zh-TW"/>
        </w:rPr>
        <w:t>Graduate</w:t>
      </w:r>
      <w:r>
        <w:rPr>
          <w:rFonts w:ascii="Times New Roman" w:hAnsi="Times New Roman" w:eastAsia="SimSun" w:cs="Times New Roman"/>
          <w:b/>
          <w:bCs/>
          <w:sz w:val="28"/>
          <w:szCs w:val="28"/>
        </w:rPr>
        <w:t xml:space="preserve"> Study </w:t>
      </w:r>
      <w:r>
        <w:rPr>
          <w:rFonts w:hint="eastAsia" w:ascii="Times New Roman" w:hAnsi="Times New Roman" w:eastAsia="新細明體" w:cs="Times New Roman"/>
          <w:b/>
          <w:bCs/>
          <w:sz w:val="28"/>
          <w:szCs w:val="28"/>
          <w:lang w:val="en-US" w:eastAsia="zh-TW"/>
        </w:rPr>
        <w:t>in the</w:t>
      </w:r>
      <w:r>
        <w:rPr>
          <w:rFonts w:ascii="Times New Roman" w:hAnsi="Times New Roman" w:eastAsia="SimSun" w:cs="Times New Roman"/>
          <w:b/>
          <w:bCs/>
          <w:sz w:val="28"/>
          <w:szCs w:val="28"/>
        </w:rPr>
        <w:t xml:space="preserve"> Doctoral Program </w:t>
      </w:r>
    </w:p>
    <w:p w14:paraId="373F3856">
      <w:pPr>
        <w:pStyle w:val="7"/>
        <w:snapToGrid w:val="0"/>
        <w:jc w:val="center"/>
        <w:rPr>
          <w:rFonts w:ascii="Times New Roman" w:hAnsi="Times New Roman" w:cs="Times New Roman"/>
          <w:sz w:val="32"/>
          <w:szCs w:val="32"/>
        </w:rPr>
      </w:pPr>
      <w:r>
        <w:rPr>
          <w:rFonts w:ascii="Times New Roman" w:hAnsi="Times New Roman" w:cs="Times New Roman"/>
          <w:sz w:val="32"/>
          <w:szCs w:val="32"/>
        </w:rPr>
        <w:t xml:space="preserve"> </w:t>
      </w:r>
    </w:p>
    <w:p w14:paraId="0F611ADB">
      <w:pPr>
        <w:pStyle w:val="6"/>
        <w:widowControl/>
        <w:snapToGrid w:val="0"/>
        <w:jc w:val="right"/>
        <w:rPr>
          <w:sz w:val="20"/>
          <w:szCs w:val="20"/>
        </w:rPr>
      </w:pPr>
      <w:r>
        <w:rPr>
          <w:rFonts w:hint="eastAsia"/>
          <w:sz w:val="20"/>
          <w:szCs w:val="20"/>
        </w:rPr>
        <w:t>Amended and a</w:t>
      </w:r>
      <w:r>
        <w:rPr>
          <w:sz w:val="20"/>
          <w:szCs w:val="20"/>
        </w:rPr>
        <w:t>pproved by the Departmental Affairs Meeting on May 6, 2014</w:t>
      </w:r>
    </w:p>
    <w:p w14:paraId="1B4FEE58">
      <w:pPr>
        <w:pStyle w:val="6"/>
        <w:widowControl/>
        <w:snapToGrid w:val="0"/>
        <w:jc w:val="right"/>
        <w:rPr>
          <w:sz w:val="20"/>
          <w:szCs w:val="20"/>
        </w:rPr>
      </w:pPr>
      <w:r>
        <w:rPr>
          <w:sz w:val="20"/>
          <w:szCs w:val="20"/>
        </w:rPr>
        <w:t>Revised and approved by the Departmental Affairs Meeting on September 30, 2014</w:t>
      </w:r>
    </w:p>
    <w:p w14:paraId="647774F1">
      <w:pPr>
        <w:pStyle w:val="6"/>
        <w:widowControl/>
        <w:snapToGrid w:val="0"/>
        <w:jc w:val="right"/>
        <w:rPr>
          <w:sz w:val="20"/>
          <w:szCs w:val="20"/>
        </w:rPr>
      </w:pPr>
      <w:r>
        <w:rPr>
          <w:sz w:val="20"/>
          <w:szCs w:val="20"/>
        </w:rPr>
        <w:t>Revised and approved by the Department Curriculum Committee on April 19, 2016</w:t>
      </w:r>
    </w:p>
    <w:p w14:paraId="55CE2C9F">
      <w:pPr>
        <w:pStyle w:val="6"/>
        <w:widowControl/>
        <w:snapToGrid w:val="0"/>
        <w:jc w:val="right"/>
        <w:rPr>
          <w:sz w:val="20"/>
          <w:szCs w:val="20"/>
        </w:rPr>
      </w:pPr>
      <w:r>
        <w:rPr>
          <w:sz w:val="20"/>
          <w:szCs w:val="20"/>
        </w:rPr>
        <w:t>Revised and approved by the Department Curriculum Committee on September 21, 2016</w:t>
      </w:r>
    </w:p>
    <w:p w14:paraId="6192BF41">
      <w:pPr>
        <w:pStyle w:val="6"/>
        <w:widowControl/>
        <w:snapToGrid w:val="0"/>
        <w:jc w:val="right"/>
        <w:rPr>
          <w:sz w:val="20"/>
          <w:szCs w:val="20"/>
        </w:rPr>
      </w:pPr>
      <w:r>
        <w:rPr>
          <w:sz w:val="20"/>
          <w:szCs w:val="20"/>
        </w:rPr>
        <w:t>Revised and approved by the Departmental Affairs Meeting on October 18, 2016</w:t>
      </w:r>
    </w:p>
    <w:p w14:paraId="55C0053E">
      <w:pPr>
        <w:pStyle w:val="6"/>
        <w:widowControl/>
        <w:snapToGrid w:val="0"/>
        <w:jc w:val="right"/>
        <w:rPr>
          <w:sz w:val="20"/>
          <w:szCs w:val="20"/>
        </w:rPr>
      </w:pPr>
      <w:r>
        <w:rPr>
          <w:sz w:val="20"/>
          <w:szCs w:val="20"/>
        </w:rPr>
        <w:t>Approved by the College Curriculum Committee on December 6, 2016</w:t>
      </w:r>
    </w:p>
    <w:p w14:paraId="4295F331">
      <w:pPr>
        <w:pStyle w:val="6"/>
        <w:widowControl/>
        <w:snapToGrid w:val="0"/>
        <w:jc w:val="right"/>
        <w:rPr>
          <w:sz w:val="20"/>
          <w:szCs w:val="20"/>
        </w:rPr>
      </w:pPr>
      <w:r>
        <w:rPr>
          <w:sz w:val="20"/>
          <w:szCs w:val="20"/>
        </w:rPr>
        <w:t>Approved by the College Curriculum Committee on May 16, 2017</w:t>
      </w:r>
    </w:p>
    <w:p w14:paraId="0D9F6636">
      <w:pPr>
        <w:pStyle w:val="6"/>
        <w:widowControl/>
        <w:snapToGrid w:val="0"/>
        <w:jc w:val="right"/>
        <w:rPr>
          <w:sz w:val="20"/>
          <w:szCs w:val="20"/>
        </w:rPr>
      </w:pPr>
      <w:r>
        <w:rPr>
          <w:sz w:val="20"/>
          <w:szCs w:val="20"/>
        </w:rPr>
        <w:t>Recorded in the Academic Affairs Meeting on June 14, 2017</w:t>
      </w:r>
    </w:p>
    <w:p w14:paraId="3720DD11">
      <w:pPr>
        <w:pStyle w:val="6"/>
        <w:widowControl/>
        <w:snapToGrid w:val="0"/>
        <w:jc w:val="right"/>
        <w:rPr>
          <w:sz w:val="20"/>
          <w:szCs w:val="20"/>
        </w:rPr>
      </w:pPr>
      <w:r>
        <w:rPr>
          <w:sz w:val="20"/>
          <w:szCs w:val="20"/>
        </w:rPr>
        <w:t>Revised and approved by the Departmental Affairs Meeting on May 21, 2019</w:t>
      </w:r>
    </w:p>
    <w:p w14:paraId="02CD988A">
      <w:pPr>
        <w:pStyle w:val="6"/>
        <w:widowControl/>
        <w:snapToGrid w:val="0"/>
        <w:jc w:val="right"/>
        <w:rPr>
          <w:sz w:val="20"/>
          <w:szCs w:val="20"/>
        </w:rPr>
      </w:pPr>
      <w:r>
        <w:rPr>
          <w:sz w:val="20"/>
          <w:szCs w:val="20"/>
        </w:rPr>
        <w:t>Approved by the College Curriculum Committee on June 11, 2019</w:t>
      </w:r>
    </w:p>
    <w:p w14:paraId="2461A4ED">
      <w:pPr>
        <w:pStyle w:val="6"/>
        <w:widowControl/>
        <w:snapToGrid w:val="0"/>
        <w:jc w:val="right"/>
        <w:rPr>
          <w:sz w:val="20"/>
          <w:szCs w:val="20"/>
        </w:rPr>
      </w:pPr>
      <w:r>
        <w:rPr>
          <w:sz w:val="20"/>
          <w:szCs w:val="20"/>
        </w:rPr>
        <w:t>Recorded in the Academic Affairs Meeting on October 9, 2019</w:t>
      </w:r>
    </w:p>
    <w:p w14:paraId="5100D3D1">
      <w:pPr>
        <w:pStyle w:val="6"/>
        <w:widowControl/>
        <w:snapToGrid w:val="0"/>
        <w:jc w:val="right"/>
        <w:rPr>
          <w:sz w:val="20"/>
          <w:szCs w:val="20"/>
        </w:rPr>
      </w:pPr>
      <w:r>
        <w:rPr>
          <w:sz w:val="20"/>
          <w:szCs w:val="20"/>
        </w:rPr>
        <w:t>Revised and approved by the Departmental Affairs Meeting on April 14, 2020</w:t>
      </w:r>
    </w:p>
    <w:p w14:paraId="27CAE0DA">
      <w:pPr>
        <w:pStyle w:val="6"/>
        <w:widowControl/>
        <w:snapToGrid w:val="0"/>
        <w:jc w:val="right"/>
        <w:rPr>
          <w:sz w:val="20"/>
          <w:szCs w:val="20"/>
        </w:rPr>
      </w:pPr>
      <w:r>
        <w:rPr>
          <w:sz w:val="20"/>
          <w:szCs w:val="20"/>
        </w:rPr>
        <w:t>Recorded in the Academic Affairs Meeting on June 17, 2020</w:t>
      </w:r>
    </w:p>
    <w:p w14:paraId="2D20E290">
      <w:pPr>
        <w:pStyle w:val="6"/>
        <w:widowControl/>
        <w:snapToGrid w:val="0"/>
        <w:jc w:val="right"/>
        <w:rPr>
          <w:sz w:val="20"/>
          <w:szCs w:val="20"/>
        </w:rPr>
      </w:pPr>
      <w:r>
        <w:rPr>
          <w:sz w:val="20"/>
          <w:szCs w:val="20"/>
        </w:rPr>
        <w:t>Revised and approved by the Department Curriculum Committee on December 7, 2020</w:t>
      </w:r>
    </w:p>
    <w:p w14:paraId="61A08035">
      <w:pPr>
        <w:pStyle w:val="6"/>
        <w:widowControl/>
        <w:snapToGrid w:val="0"/>
        <w:jc w:val="right"/>
        <w:rPr>
          <w:sz w:val="20"/>
          <w:szCs w:val="20"/>
        </w:rPr>
      </w:pPr>
      <w:r>
        <w:rPr>
          <w:sz w:val="20"/>
          <w:szCs w:val="20"/>
        </w:rPr>
        <w:t>Revised and approved by the Departmental Affairs Meeting on December 15, 2020</w:t>
      </w:r>
    </w:p>
    <w:p w14:paraId="65635F8C">
      <w:pPr>
        <w:pStyle w:val="6"/>
        <w:widowControl/>
        <w:snapToGrid w:val="0"/>
        <w:jc w:val="right"/>
        <w:rPr>
          <w:sz w:val="20"/>
          <w:szCs w:val="20"/>
        </w:rPr>
      </w:pPr>
      <w:r>
        <w:rPr>
          <w:sz w:val="20"/>
          <w:szCs w:val="20"/>
        </w:rPr>
        <w:t>Revised and approved by the Research and Development Committee on September 17, 2021</w:t>
      </w:r>
    </w:p>
    <w:p w14:paraId="30556616">
      <w:pPr>
        <w:pStyle w:val="6"/>
        <w:widowControl/>
        <w:snapToGrid w:val="0"/>
        <w:jc w:val="right"/>
        <w:rPr>
          <w:sz w:val="20"/>
          <w:szCs w:val="20"/>
        </w:rPr>
      </w:pPr>
      <w:r>
        <w:rPr>
          <w:sz w:val="20"/>
          <w:szCs w:val="20"/>
        </w:rPr>
        <w:t>Revised and approved by the Departmental Affairs Meeting on September 28, 2021</w:t>
      </w:r>
    </w:p>
    <w:p w14:paraId="573A26DE">
      <w:pPr>
        <w:pStyle w:val="6"/>
        <w:widowControl/>
        <w:snapToGrid w:val="0"/>
        <w:jc w:val="right"/>
        <w:rPr>
          <w:sz w:val="20"/>
          <w:szCs w:val="20"/>
        </w:rPr>
      </w:pPr>
      <w:r>
        <w:rPr>
          <w:sz w:val="20"/>
          <w:szCs w:val="20"/>
        </w:rPr>
        <w:t>Approved by the College Curriculum Committee on December 7, 2021</w:t>
      </w:r>
    </w:p>
    <w:p w14:paraId="6CF1FA6C">
      <w:pPr>
        <w:pStyle w:val="6"/>
        <w:widowControl/>
        <w:snapToGrid w:val="0"/>
        <w:jc w:val="right"/>
        <w:rPr>
          <w:sz w:val="20"/>
          <w:szCs w:val="20"/>
        </w:rPr>
      </w:pPr>
      <w:r>
        <w:rPr>
          <w:sz w:val="20"/>
          <w:szCs w:val="20"/>
        </w:rPr>
        <w:t>Recorded in the Academic Affairs Meeting on January 12, 2022</w:t>
      </w:r>
    </w:p>
    <w:p w14:paraId="7CCB73AE">
      <w:pPr>
        <w:pStyle w:val="6"/>
        <w:widowControl/>
        <w:rPr>
          <w:rFonts w:hint="eastAsia"/>
          <w:sz w:val="20"/>
          <w:szCs w:val="20"/>
        </w:rPr>
      </w:pPr>
      <w:r>
        <w:rPr>
          <w:rFonts w:hint="eastAsia"/>
          <w:sz w:val="20"/>
          <w:szCs w:val="20"/>
        </w:rPr>
        <w:t xml:space="preserve"> </w:t>
      </w:r>
      <w:r>
        <w:rPr>
          <w:sz w:val="20"/>
          <w:szCs w:val="20"/>
        </w:rPr>
        <w:t xml:space="preserve"> </w:t>
      </w:r>
    </w:p>
    <w:p w14:paraId="2421C7C2">
      <w:pPr>
        <w:pStyle w:val="7"/>
        <w:snapToGrid w:val="0"/>
        <w:ind w:left="964" w:hanging="964" w:hangingChars="400"/>
        <w:rPr>
          <w:rFonts w:hint="eastAsia" w:ascii="Times New Roman" w:hAnsi="Times New Roman" w:eastAsia="新細明體" w:cs="Times New Roman"/>
        </w:rPr>
      </w:pPr>
      <w:r>
        <w:rPr>
          <w:rStyle w:val="10"/>
          <w:rFonts w:eastAsia="SimSun"/>
        </w:rPr>
        <w:t>Article 1:</w:t>
      </w:r>
      <w:r>
        <w:rPr>
          <w:rFonts w:ascii="Times New Roman" w:hAnsi="Times New Roman" w:eastAsia="SimSun" w:cs="Times New Roman"/>
        </w:rPr>
        <w:t xml:space="preserve"> </w:t>
      </w:r>
      <w:r>
        <w:rPr>
          <w:rFonts w:hint="eastAsia" w:ascii="Times New Roman" w:hAnsi="Times New Roman" w:eastAsia="新細明體" w:cs="Times New Roman"/>
          <w:lang w:val="en-US" w:eastAsia="zh-TW"/>
        </w:rPr>
        <w:tab/>
      </w:r>
      <w:r>
        <w:rPr>
          <w:rFonts w:ascii="Times New Roman" w:hAnsi="Times New Roman" w:eastAsia="SimSun" w:cs="Times New Roman"/>
        </w:rPr>
        <w:t>These regulations are established in accordance with the university's "Academic</w:t>
      </w:r>
      <w:r>
        <w:rPr>
          <w:rFonts w:hint="eastAsia" w:ascii="Times New Roman" w:hAnsi="Times New Roman" w:eastAsia="新細明體" w:cs="Times New Roman"/>
        </w:rPr>
        <w:t xml:space="preserve"> </w:t>
      </w:r>
      <w:r>
        <w:rPr>
          <w:rFonts w:hint="eastAsia" w:ascii="Times New Roman" w:hAnsi="Times New Roman" w:eastAsia="新細明體" w:cs="Times New Roman"/>
          <w:lang w:val="en-US" w:eastAsia="zh-TW"/>
        </w:rPr>
        <w:tab/>
      </w:r>
      <w:r>
        <w:rPr>
          <w:rFonts w:ascii="Times New Roman" w:hAnsi="Times New Roman" w:eastAsia="SimSun" w:cs="Times New Roman"/>
        </w:rPr>
        <w:t xml:space="preserve">Regulations," "Detailed Rules for Doctoral and Master's Degree Examinations," and "Credit </w:t>
      </w:r>
      <w:r>
        <w:rPr>
          <w:rFonts w:hint="eastAsia" w:ascii="Times New Roman" w:hAnsi="Times New Roman" w:eastAsia="新細明體" w:cs="Times New Roman"/>
          <w:lang w:val="en-US" w:eastAsia="zh-TW"/>
        </w:rPr>
        <w:tab/>
      </w:r>
      <w:r>
        <w:rPr>
          <w:rFonts w:ascii="Times New Roman" w:hAnsi="Times New Roman" w:eastAsia="SimSun" w:cs="Times New Roman"/>
        </w:rPr>
        <w:t>Transfer</w:t>
      </w:r>
      <w:r>
        <w:rPr>
          <w:rFonts w:hint="eastAsia" w:cs="Times New Roman" w:asciiTheme="minorEastAsia" w:hAnsiTheme="minorEastAsia" w:eastAsiaTheme="minorEastAsia"/>
        </w:rPr>
        <w:t xml:space="preserve"> </w:t>
      </w:r>
      <w:r>
        <w:rPr>
          <w:rFonts w:ascii="Times New Roman" w:hAnsi="Times New Roman" w:eastAsia="SimSun" w:cs="Times New Roman"/>
        </w:rPr>
        <w:t>Regulations."</w:t>
      </w:r>
      <w:r>
        <w:rPr>
          <w:rFonts w:hint="eastAsia" w:ascii="Times New Roman" w:hAnsi="Times New Roman" w:eastAsia="新細明體" w:cs="Times New Roman"/>
        </w:rPr>
        <w:t xml:space="preserve"> </w:t>
      </w:r>
    </w:p>
    <w:p w14:paraId="7D29B3C2">
      <w:pPr>
        <w:pStyle w:val="7"/>
        <w:snapToGrid w:val="0"/>
        <w:ind w:left="964" w:hanging="960" w:hangingChars="400"/>
        <w:rPr>
          <w:rFonts w:hint="eastAsia" w:ascii="Times New Roman" w:hAnsi="Times New Roman" w:eastAsia="新細明體" w:cs="Times New Roman"/>
        </w:rPr>
      </w:pPr>
    </w:p>
    <w:p w14:paraId="3EF92688">
      <w:pPr>
        <w:pStyle w:val="7"/>
        <w:snapToGrid w:val="0"/>
        <w:ind w:left="960" w:hanging="961" w:hangingChars="400"/>
        <w:rPr>
          <w:rFonts w:hint="eastAsia" w:ascii="Times New Roman" w:hAnsi="Times New Roman" w:cs="Times New Roman"/>
        </w:rPr>
      </w:pPr>
      <w:r>
        <w:rPr>
          <w:rFonts w:hint="eastAsia" w:ascii="Times New Roman" w:hAnsi="Times New Roman" w:eastAsia="新細明體" w:cs="Times New Roman"/>
          <w:b/>
          <w:bCs/>
          <w:lang w:val="en-US" w:eastAsia="zh-TW"/>
        </w:rPr>
        <w:t>Article 2:</w:t>
      </w:r>
      <w:r>
        <w:rPr>
          <w:rFonts w:hint="eastAsia" w:ascii="Times New Roman" w:hAnsi="Times New Roman" w:eastAsia="新細明體" w:cs="Times New Roman"/>
          <w:b/>
          <w:bCs/>
          <w:lang w:val="en-US" w:eastAsia="zh-TW"/>
        </w:rPr>
        <w:tab/>
      </w:r>
      <w:r>
        <w:rPr>
          <w:rFonts w:ascii="Times New Roman" w:hAnsi="Times New Roman" w:cs="Times New Roman"/>
        </w:rPr>
        <w:t xml:space="preserve">The doctoral program in this department is divided into the "Information Systems Group," </w:t>
      </w:r>
      <w:r>
        <w:rPr>
          <w:rFonts w:hint="eastAsia" w:ascii="Times New Roman" w:hAnsi="Times New Roman" w:cs="Times New Roman"/>
          <w:lang w:val="en-US" w:eastAsia="zh-TW"/>
        </w:rPr>
        <w:tab/>
      </w:r>
      <w:r>
        <w:rPr>
          <w:rFonts w:ascii="Times New Roman" w:hAnsi="Times New Roman" w:cs="Times New Roman"/>
        </w:rPr>
        <w:t>"Management Group," and "Industry Group."</w:t>
      </w:r>
      <w:r>
        <w:rPr>
          <w:rFonts w:hint="eastAsia" w:ascii="Times New Roman" w:hAnsi="Times New Roman" w:cs="Times New Roman"/>
        </w:rPr>
        <w:t xml:space="preserve"> </w:t>
      </w:r>
    </w:p>
    <w:p w14:paraId="77480D10">
      <w:pPr>
        <w:pStyle w:val="9"/>
        <w:ind w:left="960" w:leftChars="0" w:firstLine="480" w:firstLineChars="0"/>
        <w:rPr>
          <w:rFonts w:hint="eastAsia" w:ascii="Times New Roman" w:hAnsi="Times New Roman" w:cs="Times New Roman"/>
        </w:rPr>
      </w:pPr>
      <w:r>
        <w:rPr>
          <w:rFonts w:ascii="Times New Roman" w:hAnsi="Times New Roman" w:cs="Times New Roman"/>
        </w:rPr>
        <w:t xml:space="preserve">Students in the Information Systems Group must select one or two advisors by the end of </w:t>
      </w:r>
      <w:r>
        <w:rPr>
          <w:rFonts w:hint="eastAsia" w:ascii="Times New Roman" w:hAnsi="Times New Roman" w:cs="Times New Roman"/>
          <w:lang w:val="en-US" w:eastAsia="zh-TW"/>
        </w:rPr>
        <w:tab/>
      </w:r>
      <w:r>
        <w:rPr>
          <w:rFonts w:ascii="Times New Roman" w:hAnsi="Times New Roman" w:cs="Times New Roman"/>
        </w:rPr>
        <w:t xml:space="preserve">their first academic year. Students in the Management Group and Industry Group must select </w:t>
      </w:r>
      <w:r>
        <w:rPr>
          <w:rFonts w:hint="eastAsia" w:ascii="Times New Roman" w:hAnsi="Times New Roman" w:cs="Times New Roman"/>
          <w:lang w:val="en-US" w:eastAsia="zh-TW"/>
        </w:rPr>
        <w:tab/>
      </w:r>
      <w:r>
        <w:rPr>
          <w:rFonts w:ascii="Times New Roman" w:hAnsi="Times New Roman" w:cs="Times New Roman"/>
        </w:rPr>
        <w:t>their advisors no later than one year after passing the qualifying exam.</w:t>
      </w:r>
      <w:r>
        <w:rPr>
          <w:rFonts w:hint="eastAsia" w:ascii="Times New Roman" w:hAnsi="Times New Roman" w:cs="Times New Roman"/>
        </w:rPr>
        <w:t xml:space="preserve"> </w:t>
      </w:r>
    </w:p>
    <w:p w14:paraId="222A20F7">
      <w:pPr>
        <w:pStyle w:val="9"/>
        <w:ind w:left="960" w:leftChars="0" w:firstLine="480" w:firstLineChars="0"/>
        <w:rPr>
          <w:rFonts w:hint="eastAsia" w:ascii="Times New Roman" w:hAnsi="Times New Roman" w:cs="Times New Roman"/>
        </w:rPr>
      </w:pPr>
      <w:r>
        <w:rPr>
          <w:rFonts w:ascii="Times New Roman" w:hAnsi="Times New Roman" w:cs="Times New Roman"/>
        </w:rPr>
        <w:t xml:space="preserve">At least one advisor must be a full-time faculty member of this department at the rank of </w:t>
      </w:r>
      <w:r>
        <w:rPr>
          <w:rFonts w:hint="eastAsia" w:ascii="Times New Roman" w:hAnsi="Times New Roman" w:cs="Times New Roman"/>
          <w:lang w:val="en-US" w:eastAsia="zh-TW"/>
        </w:rPr>
        <w:tab/>
      </w:r>
      <w:r>
        <w:rPr>
          <w:rFonts w:ascii="Times New Roman" w:hAnsi="Times New Roman" w:cs="Times New Roman"/>
        </w:rPr>
        <w:t>assistant professor or above.</w:t>
      </w:r>
      <w:r>
        <w:rPr>
          <w:rFonts w:hint="eastAsia" w:ascii="Times New Roman" w:hAnsi="Times New Roman" w:cs="Times New Roman"/>
        </w:rPr>
        <w:t xml:space="preserve"> </w:t>
      </w:r>
      <w:r>
        <w:rPr>
          <w:rFonts w:ascii="Times New Roman" w:hAnsi="Times New Roman" w:cs="Times New Roman"/>
        </w:rPr>
        <w:t xml:space="preserve">The advisor(s) and the student must sign the "Thesis Advisor </w:t>
      </w:r>
      <w:r>
        <w:rPr>
          <w:rFonts w:hint="eastAsia" w:ascii="Times New Roman" w:hAnsi="Times New Roman" w:cs="Times New Roman"/>
          <w:lang w:val="en-US" w:eastAsia="zh-TW"/>
        </w:rPr>
        <w:tab/>
      </w:r>
      <w:r>
        <w:rPr>
          <w:rFonts w:ascii="Times New Roman" w:hAnsi="Times New Roman" w:cs="Times New Roman"/>
        </w:rPr>
        <w:t xml:space="preserve">Consent Form," which should then be submitted to the departmental office. The original form </w:t>
      </w:r>
      <w:r>
        <w:rPr>
          <w:rFonts w:hint="eastAsia" w:ascii="Times New Roman" w:hAnsi="Times New Roman" w:cs="Times New Roman"/>
          <w:lang w:val="en-US" w:eastAsia="zh-TW"/>
        </w:rPr>
        <w:tab/>
      </w:r>
      <w:r>
        <w:rPr>
          <w:rFonts w:ascii="Times New Roman" w:hAnsi="Times New Roman" w:cs="Times New Roman"/>
        </w:rPr>
        <w:t>will be kept by the office, while copies will be held by the student and the advisor(s).</w:t>
      </w:r>
      <w:r>
        <w:rPr>
          <w:rFonts w:hint="eastAsia" w:ascii="Times New Roman" w:hAnsi="Times New Roman" w:cs="Times New Roman"/>
        </w:rPr>
        <w:t xml:space="preserve"> </w:t>
      </w:r>
    </w:p>
    <w:p w14:paraId="453F6AD6">
      <w:pPr>
        <w:pStyle w:val="9"/>
        <w:ind w:left="960" w:leftChars="0" w:firstLine="480" w:firstLineChars="0"/>
        <w:rPr>
          <w:rFonts w:hint="eastAsia" w:ascii="Times New Roman" w:hAnsi="Times New Roman" w:cs="Times New Roman"/>
        </w:rPr>
      </w:pPr>
      <w:r>
        <w:rPr>
          <w:rFonts w:ascii="Times New Roman" w:hAnsi="Times New Roman" w:cs="Times New Roman"/>
        </w:rPr>
        <w:t xml:space="preserve">To change advisors, the student must first obtain the original advisor's signature on the </w:t>
      </w:r>
      <w:r>
        <w:rPr>
          <w:rFonts w:hint="eastAsia" w:ascii="Times New Roman" w:hAnsi="Times New Roman" w:cs="Times New Roman"/>
          <w:lang w:val="en-US" w:eastAsia="zh-TW"/>
        </w:rPr>
        <w:tab/>
      </w:r>
      <w:r>
        <w:rPr>
          <w:rFonts w:ascii="Times New Roman" w:hAnsi="Times New Roman" w:cs="Times New Roman"/>
        </w:rPr>
        <w:t xml:space="preserve">"Termination of Thesis Advisor Agreement" form and follow the "University Guidelines for </w:t>
      </w:r>
      <w:r>
        <w:rPr>
          <w:rFonts w:hint="eastAsia" w:ascii="Times New Roman" w:hAnsi="Times New Roman" w:cs="Times New Roman"/>
          <w:lang w:val="en-US" w:eastAsia="zh-TW"/>
        </w:rPr>
        <w:tab/>
      </w:r>
      <w:r>
        <w:rPr>
          <w:rFonts w:ascii="Times New Roman" w:hAnsi="Times New Roman" w:cs="Times New Roman"/>
        </w:rPr>
        <w:t xml:space="preserve">Interaction between Thesis Advisors and Graduate Students." Any disputes can be submitted </w:t>
      </w:r>
      <w:r>
        <w:rPr>
          <w:rFonts w:hint="eastAsia" w:ascii="Times New Roman" w:hAnsi="Times New Roman" w:cs="Times New Roman"/>
          <w:lang w:val="en-US" w:eastAsia="zh-TW"/>
        </w:rPr>
        <w:tab/>
      </w:r>
      <w:r>
        <w:rPr>
          <w:rFonts w:ascii="Times New Roman" w:hAnsi="Times New Roman" w:cs="Times New Roman"/>
        </w:rPr>
        <w:t xml:space="preserve">to the </w:t>
      </w:r>
      <w:r>
        <w:rPr>
          <w:rFonts w:hint="eastAsia" w:ascii="Times New Roman" w:hAnsi="Times New Roman" w:cs="Times New Roman"/>
        </w:rPr>
        <w:t>D</w:t>
      </w:r>
      <w:r>
        <w:rPr>
          <w:rFonts w:ascii="Times New Roman" w:hAnsi="Times New Roman" w:cs="Times New Roman"/>
        </w:rPr>
        <w:t xml:space="preserve">epartmental </w:t>
      </w:r>
      <w:r>
        <w:rPr>
          <w:rFonts w:hint="eastAsia" w:ascii="Times New Roman" w:hAnsi="Times New Roman" w:cs="Times New Roman"/>
        </w:rPr>
        <w:t>A</w:t>
      </w:r>
      <w:r>
        <w:rPr>
          <w:rFonts w:ascii="Times New Roman" w:hAnsi="Times New Roman" w:cs="Times New Roman"/>
        </w:rPr>
        <w:t xml:space="preserve">ffairs </w:t>
      </w:r>
      <w:r>
        <w:rPr>
          <w:rFonts w:hint="eastAsia" w:ascii="Times New Roman" w:hAnsi="Times New Roman" w:cs="Times New Roman"/>
        </w:rPr>
        <w:t>M</w:t>
      </w:r>
      <w:r>
        <w:rPr>
          <w:rFonts w:ascii="Times New Roman" w:hAnsi="Times New Roman" w:cs="Times New Roman"/>
        </w:rPr>
        <w:t>eeting for resolution.</w:t>
      </w:r>
      <w:r>
        <w:rPr>
          <w:rFonts w:hint="eastAsia" w:ascii="Times New Roman" w:hAnsi="Times New Roman" w:cs="Times New Roman"/>
        </w:rPr>
        <w:t xml:space="preserve"> </w:t>
      </w:r>
    </w:p>
    <w:p w14:paraId="2CF27C0B">
      <w:pPr>
        <w:pStyle w:val="9"/>
        <w:ind w:left="960" w:leftChars="0" w:firstLine="480" w:firstLineChars="0"/>
        <w:rPr>
          <w:rFonts w:hint="eastAsia" w:ascii="Times New Roman" w:hAnsi="Times New Roman" w:cs="Times New Roman"/>
        </w:rPr>
      </w:pPr>
      <w:r>
        <w:rPr>
          <w:rFonts w:ascii="Times New Roman" w:hAnsi="Times New Roman" w:cs="Times New Roman"/>
        </w:rPr>
        <w:t xml:space="preserve">If a new student finds that their interests do not align with their current group, they may apply </w:t>
      </w:r>
      <w:r>
        <w:rPr>
          <w:rFonts w:hint="eastAsia" w:ascii="Times New Roman" w:hAnsi="Times New Roman" w:cs="Times New Roman"/>
          <w:lang w:val="en-US" w:eastAsia="zh-TW"/>
        </w:rPr>
        <w:tab/>
      </w:r>
      <w:r>
        <w:rPr>
          <w:rFonts w:ascii="Times New Roman" w:hAnsi="Times New Roman" w:cs="Times New Roman"/>
        </w:rPr>
        <w:t xml:space="preserve">to transfer to another group after completing two courses from their original group and three </w:t>
      </w:r>
      <w:r>
        <w:rPr>
          <w:rFonts w:hint="eastAsia" w:ascii="Times New Roman" w:hAnsi="Times New Roman" w:cs="Times New Roman"/>
          <w:lang w:val="en-US" w:eastAsia="zh-TW"/>
        </w:rPr>
        <w:tab/>
      </w:r>
      <w:r>
        <w:rPr>
          <w:rFonts w:ascii="Times New Roman" w:hAnsi="Times New Roman" w:cs="Times New Roman"/>
        </w:rPr>
        <w:t xml:space="preserve">courses from the desired group (Management Group courses: Information Management </w:t>
      </w:r>
      <w:r>
        <w:rPr>
          <w:rFonts w:hint="eastAsia" w:ascii="Times New Roman" w:hAnsi="Times New Roman" w:cs="Times New Roman"/>
          <w:lang w:val="en-US" w:eastAsia="zh-TW"/>
        </w:rPr>
        <w:tab/>
      </w:r>
      <w:r>
        <w:rPr>
          <w:rFonts w:ascii="Times New Roman" w:hAnsi="Times New Roman" w:cs="Times New Roman"/>
        </w:rPr>
        <w:t xml:space="preserve">Research, Multivariate Analysis, and Research Methods; Systems Group courses: Software </w:t>
      </w:r>
      <w:r>
        <w:rPr>
          <w:rFonts w:hint="eastAsia" w:ascii="Times New Roman" w:hAnsi="Times New Roman" w:cs="Times New Roman"/>
          <w:lang w:val="en-US" w:eastAsia="zh-TW"/>
        </w:rPr>
        <w:tab/>
      </w:r>
      <w:r>
        <w:rPr>
          <w:rFonts w:ascii="Times New Roman" w:hAnsi="Times New Roman" w:cs="Times New Roman"/>
        </w:rPr>
        <w:t xml:space="preserve">Engineering, Computer Networks, Business Intelligence, and Intelligent Information </w:t>
      </w:r>
      <w:r>
        <w:rPr>
          <w:rFonts w:hint="eastAsia" w:ascii="Times New Roman" w:hAnsi="Times New Roman" w:cs="Times New Roman"/>
          <w:lang w:val="en-US" w:eastAsia="zh-TW"/>
        </w:rPr>
        <w:tab/>
      </w:r>
      <w:r>
        <w:rPr>
          <w:rFonts w:ascii="Times New Roman" w:hAnsi="Times New Roman" w:cs="Times New Roman"/>
        </w:rPr>
        <w:t xml:space="preserve">Systems). The transfer application must be submitted before the start of the second academic </w:t>
      </w:r>
      <w:r>
        <w:rPr>
          <w:rFonts w:hint="eastAsia" w:ascii="Times New Roman" w:hAnsi="Times New Roman" w:cs="Times New Roman"/>
          <w:lang w:val="en-US" w:eastAsia="zh-TW"/>
        </w:rPr>
        <w:tab/>
      </w:r>
      <w:r>
        <w:rPr>
          <w:rFonts w:ascii="Times New Roman" w:hAnsi="Times New Roman" w:cs="Times New Roman"/>
        </w:rPr>
        <w:t xml:space="preserve">year, and it will be approved upon review by the </w:t>
      </w:r>
      <w:r>
        <w:rPr>
          <w:rFonts w:hint="eastAsia" w:ascii="Times New Roman" w:hAnsi="Times New Roman" w:cs="Times New Roman"/>
        </w:rPr>
        <w:t>D</w:t>
      </w:r>
      <w:r>
        <w:rPr>
          <w:rFonts w:ascii="Times New Roman" w:hAnsi="Times New Roman" w:cs="Times New Roman"/>
        </w:rPr>
        <w:t xml:space="preserve">epartmental </w:t>
      </w:r>
      <w:r>
        <w:rPr>
          <w:rFonts w:hint="eastAsia" w:ascii="Times New Roman" w:hAnsi="Times New Roman" w:cs="Times New Roman"/>
        </w:rPr>
        <w:t>A</w:t>
      </w:r>
      <w:r>
        <w:rPr>
          <w:rFonts w:ascii="Times New Roman" w:hAnsi="Times New Roman" w:cs="Times New Roman"/>
        </w:rPr>
        <w:t xml:space="preserve">ffairs </w:t>
      </w:r>
      <w:r>
        <w:rPr>
          <w:rFonts w:hint="eastAsia" w:ascii="Times New Roman" w:hAnsi="Times New Roman" w:cs="Times New Roman"/>
        </w:rPr>
        <w:t>M</w:t>
      </w:r>
      <w:r>
        <w:rPr>
          <w:rFonts w:ascii="Times New Roman" w:hAnsi="Times New Roman" w:cs="Times New Roman"/>
        </w:rPr>
        <w:t>eeting.</w:t>
      </w:r>
      <w:r>
        <w:rPr>
          <w:rFonts w:hint="eastAsia" w:ascii="Times New Roman" w:hAnsi="Times New Roman" w:cs="Times New Roman"/>
        </w:rPr>
        <w:t xml:space="preserve"> </w:t>
      </w:r>
    </w:p>
    <w:p w14:paraId="6D8D85D7">
      <w:pPr>
        <w:pStyle w:val="9"/>
        <w:ind w:left="960" w:leftChars="0" w:firstLine="480" w:firstLineChars="0"/>
        <w:rPr>
          <w:rFonts w:hint="eastAsia" w:ascii="Times New Roman" w:hAnsi="Times New Roman"/>
        </w:rPr>
      </w:pPr>
      <w:r>
        <w:rPr>
          <w:rFonts w:ascii="Times New Roman" w:hAnsi="Times New Roman"/>
        </w:rPr>
        <w:t>The qualif</w:t>
      </w:r>
      <w:r>
        <w:rPr>
          <w:rFonts w:hint="eastAsia" w:ascii="Times New Roman" w:hAnsi="Times New Roman" w:cs="Times New Roman"/>
        </w:rPr>
        <w:t>ying</w:t>
      </w:r>
      <w:r>
        <w:rPr>
          <w:rFonts w:ascii="Times New Roman" w:hAnsi="Times New Roman"/>
        </w:rPr>
        <w:t xml:space="preserve"> examination and graduation requirements must meet the </w:t>
      </w:r>
      <w:r>
        <w:rPr>
          <w:rFonts w:hint="eastAsia" w:ascii="Times New Roman" w:hAnsi="Times New Roman" w:cs="Times New Roman"/>
        </w:rPr>
        <w:t>criteria</w:t>
      </w:r>
      <w:r>
        <w:rPr>
          <w:rFonts w:ascii="Times New Roman" w:hAnsi="Times New Roman"/>
        </w:rPr>
        <w:t xml:space="preserve"> of the group </w:t>
      </w:r>
      <w:r>
        <w:rPr>
          <w:rFonts w:hint="eastAsia" w:ascii="Times New Roman" w:hAnsi="Times New Roman"/>
          <w:lang w:val="en-US" w:eastAsia="zh-TW"/>
        </w:rPr>
        <w:tab/>
      </w:r>
      <w:r>
        <w:rPr>
          <w:rFonts w:ascii="Times New Roman" w:hAnsi="Times New Roman"/>
        </w:rPr>
        <w:t>after the transfer.</w:t>
      </w:r>
      <w:r>
        <w:rPr>
          <w:rFonts w:hint="eastAsia" w:ascii="Times New Roman" w:hAnsi="Times New Roman"/>
        </w:rPr>
        <w:t xml:space="preserve"> </w:t>
      </w:r>
    </w:p>
    <w:p w14:paraId="69546CC2">
      <w:pPr>
        <w:pStyle w:val="9"/>
        <w:rPr>
          <w:rFonts w:hint="eastAsia" w:ascii="Times New Roman" w:hAnsi="Times New Roman" w:cs="Times New Roman"/>
        </w:rPr>
      </w:pPr>
      <w:r>
        <w:rPr>
          <w:rStyle w:val="10"/>
        </w:rPr>
        <w:t>Article 3:</w:t>
      </w:r>
      <w:r>
        <w:rPr>
          <w:rStyle w:val="10"/>
          <w:rFonts w:hint="eastAsia"/>
          <w:lang w:val="en-US" w:eastAsia="zh-TW"/>
        </w:rPr>
        <w:tab/>
      </w:r>
      <w:r>
        <w:rPr>
          <w:rFonts w:ascii="Times New Roman" w:hAnsi="Times New Roman" w:cs="Times New Roman"/>
        </w:rPr>
        <w:t xml:space="preserve">The qualifying exam subjects for the "Information Systems Group" include Management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 xml:space="preserve">Information Systems, Software Engineering, Computer Networks, Business Intelligence, and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 xml:space="preserve">Intelligent Information Systems. The exam is held once at the beginning of the second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semester each academic year.</w:t>
      </w:r>
      <w:r>
        <w:rPr>
          <w:rFonts w:hint="eastAsia" w:ascii="Times New Roman" w:hAnsi="Times New Roman" w:cs="Times New Roman"/>
        </w:rPr>
        <w:t xml:space="preserve"> </w:t>
      </w:r>
      <w:r>
        <w:rPr>
          <w:rFonts w:ascii="Times New Roman" w:hAnsi="Times New Roman" w:cs="Times New Roman"/>
        </w:rPr>
        <w:t xml:space="preserve">Candidates may choose to take part or all of the subjects each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time, with a maximum of two attempts per subject.</w:t>
      </w:r>
      <w:r>
        <w:rPr>
          <w:rFonts w:hint="eastAsia" w:ascii="Times New Roman" w:hAnsi="Times New Roman" w:cs="Times New Roman"/>
        </w:rPr>
        <w:t xml:space="preserve"> </w:t>
      </w:r>
    </w:p>
    <w:p w14:paraId="50BED64D">
      <w:pPr>
        <w:pStyle w:val="6"/>
        <w:widowControl/>
        <w:spacing w:before="100" w:beforeAutospacing="1" w:after="100" w:afterAutospacing="1"/>
        <w:ind w:left="960" w:leftChars="0" w:firstLine="480" w:firstLineChars="0"/>
      </w:pPr>
      <w:r>
        <w:t xml:space="preserve">The exam grades are categorized into four levels: A, B, C, and F, where A is 4 points, B is 3 </w:t>
      </w:r>
      <w:r>
        <w:rPr>
          <w:rFonts w:hint="eastAsia"/>
          <w:lang w:val="en-US" w:eastAsia="zh-TW"/>
        </w:rPr>
        <w:tab/>
      </w:r>
      <w:r>
        <w:t>points, C is 2 points, and F is 0 points.</w:t>
      </w:r>
      <w:r>
        <w:rPr>
          <w:rFonts w:hint="eastAsia"/>
          <w:lang w:val="en-US" w:eastAsia="zh-TW"/>
        </w:rPr>
        <w:t xml:space="preserve"> </w:t>
      </w:r>
      <w:r>
        <w:t xml:space="preserve">For subjects in the qualifying exam that students have </w:t>
      </w:r>
      <w:r>
        <w:rPr>
          <w:rFonts w:hint="eastAsia"/>
          <w:lang w:val="en-US" w:eastAsia="zh-TW"/>
        </w:rPr>
        <w:tab/>
      </w:r>
      <w:r>
        <w:t xml:space="preserve">taken as courses within the department and scored 80 or above, these courses are considered </w:t>
      </w:r>
      <w:r>
        <w:rPr>
          <w:rFonts w:hint="eastAsia"/>
          <w:lang w:val="en-US" w:eastAsia="zh-TW"/>
        </w:rPr>
        <w:tab/>
      </w:r>
      <w:r>
        <w:t xml:space="preserve">equivalent to a C (2 points) on the qualifying exam and do not count towards the exam </w:t>
      </w:r>
      <w:r>
        <w:rPr>
          <w:rFonts w:hint="eastAsia"/>
          <w:lang w:val="en-US" w:eastAsia="zh-TW"/>
        </w:rPr>
        <w:tab/>
      </w:r>
      <w:r>
        <w:rPr>
          <w:rFonts w:hint="eastAsia"/>
          <w:lang w:val="en-US" w:eastAsia="zh-TW"/>
        </w:rPr>
        <w:tab/>
      </w:r>
      <w:r>
        <w:t>attempt limit.</w:t>
      </w:r>
    </w:p>
    <w:p w14:paraId="443018AC">
      <w:pPr>
        <w:pStyle w:val="6"/>
        <w:widowControl/>
        <w:spacing w:before="100" w:beforeAutospacing="1" w:after="100" w:afterAutospacing="1"/>
        <w:ind w:left="960" w:leftChars="0" w:firstLine="480" w:firstLineChars="0"/>
      </w:pPr>
      <w:r>
        <w:t xml:space="preserve">Exam scores and course grades may be calculated separately, with the best score for each </w:t>
      </w:r>
      <w:r>
        <w:rPr>
          <w:rFonts w:hint="eastAsia"/>
          <w:lang w:val="en-US" w:eastAsia="zh-TW"/>
        </w:rPr>
        <w:tab/>
      </w:r>
      <w:r>
        <w:t xml:space="preserve">subject being considered. Students must pass the qualifying exam within four semesters. </w:t>
      </w:r>
      <w:r>
        <w:rPr>
          <w:rFonts w:hint="eastAsia"/>
          <w:lang w:val="en-US" w:eastAsia="zh-TW"/>
        </w:rPr>
        <w:tab/>
      </w:r>
      <w:r>
        <w:rPr>
          <w:rFonts w:hint="eastAsia"/>
          <w:lang w:val="en-US" w:eastAsia="zh-TW"/>
        </w:rPr>
        <w:tab/>
      </w:r>
      <w:r>
        <w:t>Failure to do so will result in dismissal from the program.</w:t>
      </w:r>
    </w:p>
    <w:p w14:paraId="042F4A04">
      <w:pPr>
        <w:pStyle w:val="6"/>
        <w:widowControl/>
        <w:spacing w:before="100" w:beforeAutospacing="1" w:after="100" w:afterAutospacing="1"/>
        <w:ind w:left="960" w:leftChars="0" w:firstLine="480" w:firstLineChars="0"/>
        <w:rPr>
          <w:sz w:val="40"/>
          <w:szCs w:val="40"/>
        </w:rPr>
      </w:pPr>
      <w:r>
        <w:t>If a student cannot complete the qualifying exams within the specified time</w:t>
      </w:r>
      <w:r>
        <w:rPr>
          <w:rFonts w:hint="eastAsia"/>
        </w:rPr>
        <w:t xml:space="preserve"> </w:t>
      </w:r>
      <w:r>
        <w:t xml:space="preserve">frame due to </w:t>
      </w:r>
      <w:r>
        <w:rPr>
          <w:rFonts w:hint="eastAsia"/>
          <w:lang w:val="en-US" w:eastAsia="zh-TW"/>
        </w:rPr>
        <w:tab/>
      </w:r>
      <w:r>
        <w:rPr>
          <w:rFonts w:hint="eastAsia"/>
          <w:lang w:val="en-US" w:eastAsia="zh-TW"/>
        </w:rPr>
        <w:tab/>
      </w:r>
      <w:r>
        <w:t xml:space="preserve">special circumstances, they may apply for an extension. The extension must be approved by </w:t>
      </w:r>
      <w:r>
        <w:rPr>
          <w:rFonts w:hint="eastAsia"/>
          <w:lang w:val="en-US" w:eastAsia="zh-TW"/>
        </w:rPr>
        <w:tab/>
      </w:r>
      <w:r>
        <w:t xml:space="preserve">the </w:t>
      </w:r>
      <w:r>
        <w:rPr>
          <w:rFonts w:hint="eastAsia"/>
        </w:rPr>
        <w:t>d</w:t>
      </w:r>
      <w:r>
        <w:t>epartment chair</w:t>
      </w:r>
      <w:r>
        <w:rPr>
          <w:rFonts w:hint="eastAsia"/>
          <w:lang w:val="en-US" w:eastAsia="zh-TW"/>
        </w:rPr>
        <w:t>person</w:t>
      </w:r>
      <w:r>
        <w:t xml:space="preserve"> and the Information Systems Group faculty meeting, but the </w:t>
      </w:r>
      <w:r>
        <w:rPr>
          <w:rFonts w:hint="eastAsia"/>
          <w:lang w:val="en-US" w:eastAsia="zh-TW"/>
        </w:rPr>
        <w:tab/>
      </w:r>
      <w:r>
        <w:t>number of attempts per subject is still limited to two.</w:t>
      </w:r>
      <w:r>
        <w:rPr>
          <w:rFonts w:hint="eastAsia"/>
        </w:rPr>
        <w:t xml:space="preserve"> </w:t>
      </w:r>
    </w:p>
    <w:p w14:paraId="25373287">
      <w:pPr>
        <w:pStyle w:val="6"/>
        <w:widowControl/>
        <w:spacing w:before="100" w:beforeAutospacing="1" w:after="100" w:afterAutospacing="1"/>
        <w:ind w:left="960" w:leftChars="0" w:firstLine="480" w:firstLineChars="0"/>
        <w:rPr>
          <w:rFonts w:hint="eastAsia"/>
        </w:rPr>
      </w:pPr>
      <w:r>
        <w:t xml:space="preserve">The conditions for passing the qualifying exam are that the student must score at least 2 </w:t>
      </w:r>
      <w:r>
        <w:rPr>
          <w:rFonts w:hint="eastAsia"/>
          <w:lang w:val="en-US" w:eastAsia="zh-TW"/>
        </w:rPr>
        <w:tab/>
      </w:r>
      <w:r>
        <w:rPr>
          <w:rFonts w:hint="eastAsia"/>
          <w:lang w:val="en-US" w:eastAsia="zh-TW"/>
        </w:rPr>
        <w:tab/>
      </w:r>
      <w:r>
        <w:t>points in each subject and achieve a total score of 13 points across all five subjects.</w:t>
      </w:r>
      <w:r>
        <w:rPr>
          <w:rFonts w:hint="eastAsia"/>
        </w:rPr>
        <w:t xml:space="preserve"> </w:t>
      </w:r>
    </w:p>
    <w:p w14:paraId="790FEC6F">
      <w:pPr>
        <w:pStyle w:val="9"/>
        <w:rPr>
          <w:rFonts w:ascii="Times New Roman" w:hAnsi="Times New Roman" w:eastAsia="SimSun" w:cs="Times New Roman"/>
        </w:rPr>
      </w:pPr>
      <w:r>
        <w:rPr>
          <w:rFonts w:ascii="Times New Roman" w:hAnsi="Times New Roman" w:eastAsia="SimSun" w:cs="Times New Roman"/>
          <w:b/>
          <w:bCs/>
        </w:rPr>
        <w:t>Article 4:</w:t>
      </w:r>
      <w:r>
        <w:rPr>
          <w:rFonts w:hint="eastAsia" w:ascii="Times New Roman" w:hAnsi="Times New Roman" w:cs="Times New Roman"/>
          <w:b/>
          <w:bCs/>
          <w:lang w:val="en-US" w:eastAsia="zh-TW"/>
        </w:rPr>
        <w:tab/>
      </w:r>
      <w:r>
        <w:rPr>
          <w:rFonts w:ascii="Times New Roman" w:hAnsi="Times New Roman" w:eastAsia="SimSun" w:cs="Times New Roman"/>
        </w:rPr>
        <w:t>The qualif</w:t>
      </w:r>
      <w:r>
        <w:rPr>
          <w:rFonts w:hint="eastAsia" w:ascii="Times New Roman" w:hAnsi="Times New Roman" w:cs="Times New Roman"/>
        </w:rPr>
        <w:t>ying</w:t>
      </w:r>
      <w:r>
        <w:rPr>
          <w:rFonts w:ascii="Times New Roman" w:hAnsi="Times New Roman" w:eastAsia="SimSun" w:cs="Times New Roman"/>
        </w:rPr>
        <w:t xml:space="preserve"> exams for the 'Management </w:t>
      </w:r>
      <w:r>
        <w:rPr>
          <w:rFonts w:hint="eastAsia" w:ascii="Times New Roman" w:hAnsi="Times New Roman" w:cs="Times New Roman"/>
        </w:rPr>
        <w:t>Group</w:t>
      </w:r>
      <w:r>
        <w:rPr>
          <w:rFonts w:ascii="Times New Roman" w:hAnsi="Times New Roman" w:eastAsia="SimSun" w:cs="Times New Roman"/>
        </w:rPr>
        <w:t xml:space="preserve">' and 'Industry </w:t>
      </w:r>
      <w:r>
        <w:rPr>
          <w:rFonts w:hint="eastAsia" w:ascii="Times New Roman" w:hAnsi="Times New Roman" w:cs="Times New Roman"/>
        </w:rPr>
        <w:t>Group</w:t>
      </w:r>
      <w:r>
        <w:rPr>
          <w:rFonts w:ascii="Times New Roman" w:hAnsi="Times New Roman" w:eastAsia="SimSun" w:cs="Times New Roman"/>
        </w:rPr>
        <w:t xml:space="preserve">' are generally held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eastAsia="SimSun" w:cs="Times New Roman"/>
        </w:rPr>
        <w:t xml:space="preserve">once a year (except for those who fail the first exam), scheduled at the beginning of the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eastAsia="SimSun" w:cs="Times New Roman"/>
        </w:rPr>
        <w:t>second semester each academic year. Students must take the qualif</w:t>
      </w:r>
      <w:r>
        <w:rPr>
          <w:rFonts w:hint="eastAsia" w:ascii="Times New Roman" w:hAnsi="Times New Roman" w:cs="Times New Roman"/>
        </w:rPr>
        <w:t>ying</w:t>
      </w:r>
      <w:r>
        <w:rPr>
          <w:rFonts w:ascii="Times New Roman" w:hAnsi="Times New Roman" w:eastAsia="SimSun" w:cs="Times New Roman"/>
        </w:rPr>
        <w:t xml:space="preserve"> exam by their second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eastAsia="SimSun" w:cs="Times New Roman"/>
        </w:rPr>
        <w:t xml:space="preserve">academic year. </w:t>
      </w:r>
    </w:p>
    <w:p w14:paraId="2335D697">
      <w:pPr>
        <w:pStyle w:val="9"/>
        <w:ind w:left="960" w:leftChars="0" w:firstLine="480" w:firstLineChars="0"/>
        <w:rPr>
          <w:rFonts w:ascii="Times New Roman" w:hAnsi="Times New Roman" w:eastAsia="SimSun" w:cs="Times New Roman"/>
        </w:rPr>
      </w:pPr>
      <w:r>
        <w:rPr>
          <w:rFonts w:ascii="Times New Roman" w:hAnsi="Times New Roman" w:eastAsia="SimSun" w:cs="Times New Roman"/>
        </w:rPr>
        <w:t xml:space="preserve">Prior to taking the exam, students must have completed the courses in Information </w:t>
      </w:r>
      <w:r>
        <w:rPr>
          <w:rFonts w:hint="eastAsia" w:ascii="Times New Roman" w:hAnsi="Times New Roman" w:cs="Times New Roman"/>
          <w:lang w:val="en-US" w:eastAsia="zh-TW"/>
        </w:rPr>
        <w:tab/>
      </w:r>
      <w:r>
        <w:rPr>
          <w:rFonts w:ascii="Times New Roman" w:hAnsi="Times New Roman" w:eastAsia="SimSun" w:cs="Times New Roman"/>
        </w:rPr>
        <w:t xml:space="preserve">Management Research, Multivariate Analysis, Management Information Systems, and </w:t>
      </w:r>
      <w:r>
        <w:rPr>
          <w:rFonts w:hint="eastAsia" w:ascii="Times New Roman" w:hAnsi="Times New Roman" w:cs="Times New Roman"/>
          <w:lang w:val="en-US" w:eastAsia="zh-TW"/>
        </w:rPr>
        <w:tab/>
      </w:r>
      <w:r>
        <w:rPr>
          <w:rFonts w:ascii="Times New Roman" w:hAnsi="Times New Roman" w:eastAsia="SimSun" w:cs="Times New Roman"/>
        </w:rPr>
        <w:t xml:space="preserve">Research Methods. </w:t>
      </w:r>
    </w:p>
    <w:p w14:paraId="519A2BED">
      <w:pPr>
        <w:pStyle w:val="9"/>
        <w:ind w:left="960" w:leftChars="0" w:firstLine="480" w:firstLineChars="0"/>
        <w:rPr>
          <w:rFonts w:hint="eastAsia" w:ascii="Times New Roman" w:hAnsi="Times New Roman" w:cs="Times New Roman"/>
        </w:rPr>
      </w:pPr>
      <w:r>
        <w:rPr>
          <w:rFonts w:ascii="Times New Roman" w:hAnsi="Times New Roman" w:eastAsia="SimSun" w:cs="Times New Roman"/>
        </w:rPr>
        <w:t>Students who fail the first qualif</w:t>
      </w:r>
      <w:r>
        <w:rPr>
          <w:rFonts w:hint="eastAsia" w:ascii="Times New Roman" w:hAnsi="Times New Roman" w:cs="Times New Roman"/>
        </w:rPr>
        <w:t>ying</w:t>
      </w:r>
      <w:r>
        <w:rPr>
          <w:rFonts w:ascii="Times New Roman" w:hAnsi="Times New Roman" w:eastAsia="SimSun" w:cs="Times New Roman"/>
        </w:rPr>
        <w:t xml:space="preserve"> exam must take a second exam in the first semester of </w:t>
      </w:r>
      <w:r>
        <w:rPr>
          <w:rFonts w:hint="eastAsia" w:ascii="Times New Roman" w:hAnsi="Times New Roman" w:cs="Times New Roman"/>
          <w:lang w:val="en-US" w:eastAsia="zh-TW"/>
        </w:rPr>
        <w:tab/>
      </w:r>
      <w:r>
        <w:rPr>
          <w:rFonts w:ascii="Times New Roman" w:hAnsi="Times New Roman" w:eastAsia="SimSun" w:cs="Times New Roman"/>
        </w:rPr>
        <w:t>the following academic year (the first semester of the</w:t>
      </w:r>
      <w:r>
        <w:rPr>
          <w:rFonts w:hint="eastAsia" w:ascii="Times New Roman" w:hAnsi="Times New Roman" w:cs="Times New Roman"/>
          <w:lang w:val="en-US" w:eastAsia="zh-TW"/>
        </w:rPr>
        <w:t xml:space="preserve"> </w:t>
      </w:r>
      <w:r>
        <w:rPr>
          <w:rFonts w:ascii="Times New Roman" w:hAnsi="Times New Roman" w:eastAsia="SimSun" w:cs="Times New Roman"/>
        </w:rPr>
        <w:t xml:space="preserve">third academic year after enrollment). </w:t>
      </w:r>
      <w:r>
        <w:rPr>
          <w:rFonts w:hint="eastAsia" w:ascii="Times New Roman" w:hAnsi="Times New Roman" w:cs="Times New Roman"/>
          <w:lang w:val="en-US" w:eastAsia="zh-TW"/>
        </w:rPr>
        <w:tab/>
      </w:r>
      <w:r>
        <w:rPr>
          <w:rFonts w:ascii="Times New Roman" w:hAnsi="Times New Roman" w:eastAsia="SimSun" w:cs="Times New Roman"/>
        </w:rPr>
        <w:t>The rules for the second qualif</w:t>
      </w:r>
      <w:r>
        <w:rPr>
          <w:rFonts w:hint="eastAsia" w:ascii="Times New Roman" w:hAnsi="Times New Roman" w:cs="Times New Roman"/>
        </w:rPr>
        <w:t>ying</w:t>
      </w:r>
      <w:r>
        <w:rPr>
          <w:rFonts w:ascii="Times New Roman" w:hAnsi="Times New Roman" w:eastAsia="SimSun" w:cs="Times New Roman"/>
        </w:rPr>
        <w:t xml:space="preserve"> exam are the same as for the first. Students who fail the </w:t>
      </w:r>
      <w:r>
        <w:rPr>
          <w:rFonts w:hint="eastAsia" w:ascii="Times New Roman" w:hAnsi="Times New Roman" w:cs="Times New Roman"/>
          <w:lang w:val="en-US" w:eastAsia="zh-TW"/>
        </w:rPr>
        <w:tab/>
      </w:r>
      <w:r>
        <w:rPr>
          <w:rFonts w:ascii="Times New Roman" w:hAnsi="Times New Roman" w:eastAsia="SimSun" w:cs="Times New Roman"/>
        </w:rPr>
        <w:t>second qualif</w:t>
      </w:r>
      <w:r>
        <w:rPr>
          <w:rFonts w:hint="eastAsia" w:ascii="Times New Roman" w:hAnsi="Times New Roman" w:cs="Times New Roman"/>
        </w:rPr>
        <w:t>ying</w:t>
      </w:r>
      <w:r>
        <w:rPr>
          <w:rFonts w:ascii="Times New Roman" w:hAnsi="Times New Roman" w:eastAsia="SimSun" w:cs="Times New Roman"/>
        </w:rPr>
        <w:t xml:space="preserve"> exam will be dismissed.</w:t>
      </w:r>
      <w:r>
        <w:rPr>
          <w:rFonts w:hint="eastAsia" w:ascii="Times New Roman" w:hAnsi="Times New Roman" w:cs="Times New Roman"/>
        </w:rPr>
        <w:t xml:space="preserve"> </w:t>
      </w:r>
    </w:p>
    <w:p w14:paraId="2293F67F">
      <w:pPr>
        <w:pStyle w:val="9"/>
        <w:autoSpaceDE w:val="0"/>
        <w:snapToGrid w:val="0"/>
        <w:ind w:left="960" w:leftChars="0" w:firstLine="480" w:firstLineChars="0"/>
        <w:rPr>
          <w:rFonts w:hint="eastAsia" w:ascii="Times New Roman" w:hAnsi="Times New Roman" w:cs="Times New Roman"/>
        </w:rPr>
      </w:pPr>
      <w:r>
        <w:rPr>
          <w:rFonts w:ascii="Times New Roman" w:hAnsi="Times New Roman" w:cs="Times New Roman"/>
          <w:b/>
          <w:bCs/>
        </w:rPr>
        <w:t>Qualif</w:t>
      </w:r>
      <w:r>
        <w:rPr>
          <w:rFonts w:hint="eastAsia" w:ascii="Times New Roman" w:hAnsi="Times New Roman" w:cs="Times New Roman"/>
          <w:b/>
          <w:bCs/>
          <w:lang w:val="en-US" w:eastAsia="zh-TW"/>
        </w:rPr>
        <w:t>ying</w:t>
      </w:r>
      <w:r>
        <w:rPr>
          <w:rFonts w:ascii="Times New Roman" w:hAnsi="Times New Roman" w:cs="Times New Roman"/>
          <w:b/>
          <w:bCs/>
        </w:rPr>
        <w:t xml:space="preserve"> Exam</w:t>
      </w:r>
      <w:r>
        <w:rPr>
          <w:rFonts w:hint="eastAsia" w:ascii="Times New Roman" w:hAnsi="Times New Roman" w:cs="Times New Roman"/>
          <w:b/>
          <w:bCs/>
          <w:lang w:val="en-US" w:eastAsia="zh-TW"/>
        </w:rPr>
        <w:t>ination</w:t>
      </w:r>
      <w:r>
        <w:rPr>
          <w:rFonts w:ascii="Times New Roman" w:hAnsi="Times New Roman" w:cs="Times New Roman"/>
          <w:b/>
          <w:bCs/>
        </w:rPr>
        <w:t xml:space="preserve"> Subjects:</w:t>
      </w:r>
      <w:r>
        <w:rPr>
          <w:rFonts w:ascii="Times New Roman" w:hAnsi="Times New Roman" w:cs="Times New Roman"/>
        </w:rPr>
        <w:t xml:space="preserve"> </w:t>
      </w:r>
    </w:p>
    <w:p w14:paraId="21641FFC">
      <w:pPr>
        <w:pStyle w:val="9"/>
        <w:numPr>
          <w:ilvl w:val="0"/>
          <w:numId w:val="1"/>
        </w:numPr>
        <w:autoSpaceDE w:val="0"/>
        <w:snapToGrid w:val="0"/>
        <w:ind w:left="1680" w:leftChars="0"/>
        <w:rPr>
          <w:rFonts w:ascii="Times New Roman" w:hAnsi="Times New Roman" w:cs="Times New Roman"/>
        </w:rPr>
      </w:pPr>
      <w:r>
        <w:rPr>
          <w:rFonts w:ascii="Times New Roman" w:hAnsi="Times New Roman" w:cs="Times New Roman"/>
        </w:rPr>
        <w:t xml:space="preserve">Management Information Systems (60%) </w:t>
      </w:r>
    </w:p>
    <w:p w14:paraId="192BC2B8">
      <w:pPr>
        <w:pStyle w:val="9"/>
        <w:numPr>
          <w:ilvl w:val="0"/>
          <w:numId w:val="1"/>
        </w:numPr>
        <w:autoSpaceDE w:val="0"/>
        <w:snapToGrid w:val="0"/>
        <w:ind w:left="1680" w:leftChars="0"/>
        <w:rPr>
          <w:rFonts w:ascii="Times New Roman" w:hAnsi="Times New Roman" w:cs="Times New Roman"/>
        </w:rPr>
      </w:pPr>
      <w:r>
        <w:rPr>
          <w:rFonts w:ascii="Times New Roman" w:hAnsi="Times New Roman" w:cs="Times New Roman"/>
        </w:rPr>
        <w:t>Research Methods (40%)</w:t>
      </w:r>
    </w:p>
    <w:p w14:paraId="3ED9BADA">
      <w:pPr>
        <w:pStyle w:val="9"/>
        <w:autoSpaceDE w:val="0"/>
        <w:ind w:left="960" w:leftChars="0" w:firstLine="480" w:firstLineChars="0"/>
        <w:rPr>
          <w:rFonts w:ascii="Times New Roman" w:hAnsi="Times New Roman" w:cs="Times New Roman"/>
        </w:rPr>
      </w:pPr>
      <w:r>
        <w:rPr>
          <w:rFonts w:ascii="Times New Roman" w:hAnsi="Times New Roman" w:cs="Times New Roman"/>
        </w:rPr>
        <w:t>Students must pass the qualif</w:t>
      </w:r>
      <w:r>
        <w:rPr>
          <w:rFonts w:hint="eastAsia" w:ascii="Times New Roman" w:hAnsi="Times New Roman" w:cs="Times New Roman"/>
        </w:rPr>
        <w:t>ying</w:t>
      </w:r>
      <w:r>
        <w:rPr>
          <w:rFonts w:ascii="Times New Roman" w:hAnsi="Times New Roman" w:cs="Times New Roman"/>
        </w:rPr>
        <w:t xml:space="preserve"> exam by the end of the first semester of their third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academic year. Failure to do so will result in dismissal.</w:t>
      </w:r>
      <w:r>
        <w:rPr>
          <w:rFonts w:hint="eastAsia" w:ascii="Times New Roman" w:hAnsi="Times New Roman" w:cs="Times New Roman"/>
        </w:rPr>
        <w:t xml:space="preserve"> </w:t>
      </w:r>
      <w:r>
        <w:rPr>
          <w:rFonts w:ascii="Times New Roman" w:hAnsi="Times New Roman" w:cs="Times New Roman"/>
        </w:rPr>
        <w:t xml:space="preserve">In cases where special circumstances </w:t>
      </w:r>
      <w:r>
        <w:rPr>
          <w:rFonts w:hint="eastAsia" w:ascii="Times New Roman" w:hAnsi="Times New Roman" w:cs="Times New Roman"/>
          <w:lang w:val="en-US" w:eastAsia="zh-TW"/>
        </w:rPr>
        <w:tab/>
      </w:r>
      <w:r>
        <w:rPr>
          <w:rFonts w:ascii="Times New Roman" w:hAnsi="Times New Roman" w:cs="Times New Roman"/>
        </w:rPr>
        <w:t xml:space="preserve">prevent a student from completing the exam within the prescribed time frame, an extension </w:t>
      </w:r>
      <w:r>
        <w:rPr>
          <w:rFonts w:hint="eastAsia" w:ascii="Times New Roman" w:hAnsi="Times New Roman" w:cs="Times New Roman"/>
          <w:lang w:val="en-US" w:eastAsia="zh-TW"/>
        </w:rPr>
        <w:tab/>
      </w:r>
      <w:r>
        <w:rPr>
          <w:rFonts w:ascii="Times New Roman" w:hAnsi="Times New Roman" w:cs="Times New Roman"/>
        </w:rPr>
        <w:t>may be granted with the approval of the department chair</w:t>
      </w:r>
      <w:r>
        <w:rPr>
          <w:rFonts w:hint="eastAsia" w:ascii="Times New Roman" w:hAnsi="Times New Roman" w:cs="Times New Roman"/>
        </w:rPr>
        <w:t>person</w:t>
      </w:r>
      <w:r>
        <w:rPr>
          <w:rFonts w:ascii="Times New Roman" w:hAnsi="Times New Roman" w:cs="Times New Roman"/>
        </w:rPr>
        <w:t xml:space="preserve"> and a faculty</w:t>
      </w:r>
      <w:r>
        <w:rPr>
          <w:rFonts w:hint="eastAsia" w:ascii="Times New Roman" w:hAnsi="Times New Roman" w:cs="Times New Roman"/>
        </w:rPr>
        <w:t xml:space="preserve"> meeting</w:t>
      </w:r>
      <w:r>
        <w:rPr>
          <w:rFonts w:ascii="Times New Roman" w:hAnsi="Times New Roman" w:cs="Times New Roman"/>
        </w:rPr>
        <w:t xml:space="preserve"> for the </w:t>
      </w:r>
      <w:r>
        <w:rPr>
          <w:rFonts w:hint="eastAsia" w:ascii="Times New Roman" w:hAnsi="Times New Roman" w:cs="Times New Roman"/>
          <w:lang w:val="en-US" w:eastAsia="zh-TW"/>
        </w:rPr>
        <w:tab/>
      </w:r>
      <w:r>
        <w:rPr>
          <w:rFonts w:ascii="Times New Roman" w:hAnsi="Times New Roman" w:cs="Times New Roman"/>
        </w:rPr>
        <w:t xml:space="preserve">Management </w:t>
      </w:r>
      <w:r>
        <w:rPr>
          <w:rFonts w:hint="eastAsia" w:ascii="Times New Roman" w:hAnsi="Times New Roman" w:cs="Times New Roman"/>
        </w:rPr>
        <w:t>Group</w:t>
      </w:r>
      <w:r>
        <w:rPr>
          <w:rFonts w:ascii="Times New Roman" w:hAnsi="Times New Roman" w:cs="Times New Roman"/>
        </w:rPr>
        <w:t xml:space="preserve">. However, the exam </w:t>
      </w:r>
      <w:r>
        <w:rPr>
          <w:rFonts w:hint="eastAsia" w:ascii="Times New Roman" w:hAnsi="Times New Roman" w:cs="Times New Roman"/>
        </w:rPr>
        <w:t>is still</w:t>
      </w:r>
      <w:r>
        <w:rPr>
          <w:rFonts w:ascii="Times New Roman" w:hAnsi="Times New Roman" w:cs="Times New Roman"/>
        </w:rPr>
        <w:t xml:space="preserve"> </w:t>
      </w:r>
      <w:r>
        <w:rPr>
          <w:rFonts w:hint="eastAsia" w:ascii="Times New Roman" w:hAnsi="Times New Roman" w:cs="Times New Roman"/>
        </w:rPr>
        <w:t>limited to</w:t>
      </w:r>
      <w:r>
        <w:rPr>
          <w:rFonts w:ascii="Times New Roman" w:hAnsi="Times New Roman" w:cs="Times New Roman"/>
        </w:rPr>
        <w:t xml:space="preserve"> two times.</w:t>
      </w:r>
      <w:r>
        <w:rPr>
          <w:rFonts w:hint="eastAsia" w:ascii="Times New Roman" w:hAnsi="Times New Roman" w:cs="Times New Roman"/>
        </w:rPr>
        <w:t xml:space="preserve"> </w:t>
      </w:r>
    </w:p>
    <w:p w14:paraId="41E204E7">
      <w:pPr>
        <w:pStyle w:val="9"/>
        <w:rPr>
          <w:rFonts w:hint="eastAsia" w:ascii="Times New Roman" w:hAnsi="Times New Roman" w:cs="Times New Roman"/>
          <w:b/>
          <w:bCs/>
        </w:rPr>
      </w:pPr>
      <w:r>
        <w:rPr>
          <w:rFonts w:ascii="Times New Roman" w:hAnsi="Times New Roman" w:cs="Times New Roman"/>
          <w:b/>
          <w:bCs/>
        </w:rPr>
        <w:t>Article 5:</w:t>
      </w:r>
      <w:r>
        <w:rPr>
          <w:rFonts w:hint="eastAsia" w:ascii="Times New Roman" w:hAnsi="Times New Roman" w:cs="Times New Roman"/>
          <w:b/>
          <w:bCs/>
          <w:lang w:val="en-US" w:eastAsia="zh-TW"/>
        </w:rPr>
        <w:tab/>
      </w:r>
      <w:r>
        <w:rPr>
          <w:rFonts w:ascii="Times New Roman" w:hAnsi="Times New Roman" w:cs="Times New Roman"/>
          <w:b/>
          <w:bCs/>
        </w:rPr>
        <w:t>Course Requirements are as follows:</w:t>
      </w:r>
    </w:p>
    <w:p w14:paraId="16E2E53E">
      <w:pPr>
        <w:pStyle w:val="6"/>
        <w:numPr>
          <w:ilvl w:val="0"/>
          <w:numId w:val="2"/>
        </w:numPr>
        <w:tabs>
          <w:tab w:val="left" w:pos="720"/>
          <w:tab w:val="clear" w:pos="1140"/>
        </w:tabs>
        <w:ind w:left="1560" w:leftChars="0"/>
      </w:pPr>
      <w:r>
        <w:rPr>
          <w:b/>
          <w:bCs/>
        </w:rPr>
        <w:t xml:space="preserve">For the 'Information Systems Group,' </w:t>
      </w:r>
      <w:r>
        <w:t xml:space="preserve">students must complete at least 31 credits in addition to the thesis. </w:t>
      </w:r>
    </w:p>
    <w:p w14:paraId="19812E67">
      <w:pPr>
        <w:pStyle w:val="8"/>
        <w:widowControl/>
        <w:numPr>
          <w:ilvl w:val="0"/>
          <w:numId w:val="3"/>
        </w:numPr>
        <w:ind w:left="1685" w:leftChars="0"/>
        <w:rPr>
          <w:rFonts w:ascii="Times New Roman" w:hAnsi="Times New Roman"/>
        </w:rPr>
      </w:pPr>
      <w:r>
        <w:rPr>
          <w:rFonts w:ascii="Times New Roman" w:hAnsi="Times New Roman"/>
        </w:rPr>
        <w:t>Core Courses (8 credits): Management Information Systems, Research Methods, Management Communication (2 credits).</w:t>
      </w:r>
    </w:p>
    <w:p w14:paraId="0BDDE5B6">
      <w:pPr>
        <w:pStyle w:val="8"/>
        <w:widowControl/>
        <w:numPr>
          <w:ilvl w:val="0"/>
          <w:numId w:val="3"/>
        </w:numPr>
        <w:ind w:left="1685" w:leftChars="0"/>
        <w:rPr>
          <w:rFonts w:ascii="Times New Roman" w:hAnsi="Times New Roman"/>
        </w:rPr>
      </w:pPr>
      <w:r>
        <w:rPr>
          <w:rFonts w:ascii="Times New Roman" w:hAnsi="Times New Roman"/>
        </w:rPr>
        <w:t xml:space="preserve">Management Courses (at least 9 credits): At least 9 credits from graduate-level management courses (Marketing Management, Financial Management, Production and Operations Management, Human Resource Management, Corporate Strategy). </w:t>
      </w:r>
    </w:p>
    <w:p w14:paraId="5AC224BF">
      <w:pPr>
        <w:pStyle w:val="8"/>
        <w:widowControl/>
        <w:numPr>
          <w:ilvl w:val="0"/>
          <w:numId w:val="3"/>
        </w:numPr>
        <w:ind w:left="1685" w:leftChars="0"/>
        <w:rPr>
          <w:rFonts w:ascii="Times New Roman" w:hAnsi="Times New Roman"/>
        </w:rPr>
      </w:pPr>
      <w:r>
        <w:rPr>
          <w:rFonts w:ascii="Times New Roman" w:hAnsi="Times New Roman"/>
        </w:rPr>
        <w:t xml:space="preserve">Seminar (5 credits): 5 semesters, 1 credit per semester. </w:t>
      </w:r>
    </w:p>
    <w:p w14:paraId="6508A4FA">
      <w:pPr>
        <w:pStyle w:val="8"/>
        <w:widowControl/>
        <w:numPr>
          <w:ilvl w:val="0"/>
          <w:numId w:val="3"/>
        </w:numPr>
        <w:ind w:left="1685" w:leftChars="0"/>
        <w:rPr>
          <w:rFonts w:ascii="Times New Roman" w:hAnsi="Times New Roman"/>
        </w:rPr>
      </w:pPr>
      <w:r>
        <w:rPr>
          <w:rFonts w:ascii="Times New Roman" w:hAnsi="Times New Roman"/>
        </w:rPr>
        <w:t>Major Field Courses (at least 9 credits): At least 9 credits from courses in the major field, as designated by the advisor.</w:t>
      </w:r>
    </w:p>
    <w:p w14:paraId="17ADF2C0">
      <w:pPr>
        <w:pStyle w:val="6"/>
      </w:pPr>
      <w:r>
        <w:t xml:space="preserve"> </w:t>
      </w:r>
    </w:p>
    <w:p w14:paraId="074660C2">
      <w:pPr>
        <w:pStyle w:val="6"/>
        <w:numPr>
          <w:ilvl w:val="0"/>
          <w:numId w:val="2"/>
        </w:numPr>
        <w:tabs>
          <w:tab w:val="left" w:pos="720"/>
          <w:tab w:val="clear" w:pos="1140"/>
        </w:tabs>
        <w:ind w:left="1380" w:leftChars="0"/>
      </w:pPr>
      <w:r>
        <w:rPr>
          <w:b/>
          <w:bCs/>
        </w:rPr>
        <w:t xml:space="preserve">For the 'Management Group,' </w:t>
      </w:r>
      <w:r>
        <w:t xml:space="preserve">students must complete 31 credits, excluding the thesis and any transferred courses. Credits earned as a full-time or part-time student in doctoral programs, either within the department or from other institutions, may count toward the required 31 credits, pending approval by the Curriculum Committee. </w:t>
      </w:r>
    </w:p>
    <w:p w14:paraId="31FA9E03">
      <w:pPr>
        <w:pStyle w:val="6"/>
        <w:numPr>
          <w:ilvl w:val="0"/>
          <w:numId w:val="4"/>
        </w:numPr>
        <w:tabs>
          <w:tab w:val="left" w:pos="1265"/>
          <w:tab w:val="clear" w:pos="1685"/>
        </w:tabs>
        <w:ind w:left="1860" w:leftChars="0"/>
      </w:pPr>
      <w:r>
        <w:t xml:space="preserve">Prerequisite Courses (27 credits): </w:t>
      </w:r>
    </w:p>
    <w:p w14:paraId="768CA105">
      <w:pPr>
        <w:pStyle w:val="6"/>
        <w:numPr>
          <w:ilvl w:val="0"/>
          <w:numId w:val="5"/>
        </w:numPr>
        <w:tabs>
          <w:tab w:val="left" w:pos="1685"/>
          <w:tab w:val="clear" w:pos="2105"/>
        </w:tabs>
        <w:ind w:left="2340" w:leftChars="0"/>
      </w:pPr>
      <w:r>
        <w:t xml:space="preserve">Management Courses (18 credits): Marketing Management, Financial Management, Production and Operations Management, Human Resource Management, Managerial Accounting, Corporate Strategy. </w:t>
      </w:r>
    </w:p>
    <w:p w14:paraId="0C0A250C">
      <w:pPr>
        <w:pStyle w:val="6"/>
        <w:numPr>
          <w:ilvl w:val="0"/>
          <w:numId w:val="5"/>
        </w:numPr>
        <w:tabs>
          <w:tab w:val="left" w:pos="1685"/>
          <w:tab w:val="clear" w:pos="2105"/>
        </w:tabs>
        <w:ind w:left="2340" w:leftChars="0"/>
      </w:pPr>
      <w:r>
        <w:t xml:space="preserve">Information Technology Courses (9 credits): Software Engineering, Enterprise Computer Networks, Information Models. </w:t>
      </w:r>
    </w:p>
    <w:p w14:paraId="7C3BE3F2">
      <w:pPr>
        <w:pStyle w:val="6"/>
        <w:numPr>
          <w:ilvl w:val="0"/>
          <w:numId w:val="5"/>
        </w:numPr>
        <w:tabs>
          <w:tab w:val="left" w:pos="1685"/>
          <w:tab w:val="clear" w:pos="2105"/>
        </w:tabs>
        <w:ind w:left="2340" w:leftChars="0"/>
      </w:pPr>
      <w:r>
        <w:t xml:space="preserve">Prerequisite courses may be waived based on prior graduate credits or relevant work experience, subject to Curriculum Committee approval. Exams may also be used for credit recognition if necessary. </w:t>
      </w:r>
    </w:p>
    <w:p w14:paraId="20A4A9A9">
      <w:pPr>
        <w:pStyle w:val="6"/>
        <w:ind w:left="1440" w:leftChars="0"/>
        <w:rPr>
          <w:rFonts w:ascii="Calibri" w:hAnsi="Calibri"/>
        </w:rPr>
      </w:pPr>
      <w:r>
        <w:rPr>
          <w:rFonts w:ascii="Calibri" w:hAnsi="Calibri"/>
        </w:rPr>
        <w:t xml:space="preserve"> </w:t>
      </w:r>
    </w:p>
    <w:p w14:paraId="680D7DDA">
      <w:pPr>
        <w:pStyle w:val="6"/>
        <w:numPr>
          <w:ilvl w:val="0"/>
          <w:numId w:val="4"/>
        </w:numPr>
        <w:tabs>
          <w:tab w:val="left" w:pos="1265"/>
          <w:tab w:val="clear" w:pos="1685"/>
        </w:tabs>
        <w:ind w:left="1860" w:leftChars="0"/>
      </w:pPr>
      <w:r>
        <w:t xml:space="preserve">Core Courses (17 credits): </w:t>
      </w:r>
    </w:p>
    <w:p w14:paraId="68A1FCA5">
      <w:pPr>
        <w:pStyle w:val="6"/>
        <w:numPr>
          <w:ilvl w:val="0"/>
          <w:numId w:val="6"/>
        </w:numPr>
        <w:tabs>
          <w:tab w:val="left" w:pos="1685"/>
          <w:tab w:val="clear" w:pos="2105"/>
        </w:tabs>
        <w:ind w:left="2340" w:leftChars="0"/>
      </w:pPr>
      <w:r>
        <w:t xml:space="preserve">Information Management Research; Research Methods (Research Methods,    Multivariate Analysis, Qualitative Research Methods, Quantitative Research Methods, and Theoretical Development and Model Building in Information Systems -- any three courses); Management Communication (2 credits); and Management Information Systems. </w:t>
      </w:r>
    </w:p>
    <w:p w14:paraId="4F0EBF9E">
      <w:pPr>
        <w:pStyle w:val="6"/>
        <w:numPr>
          <w:ilvl w:val="0"/>
          <w:numId w:val="6"/>
        </w:numPr>
        <w:tabs>
          <w:tab w:val="left" w:pos="1685"/>
          <w:tab w:val="clear" w:pos="2105"/>
        </w:tabs>
        <w:ind w:left="2340" w:leftChars="0"/>
        <w:rPr>
          <w:rFonts w:hint="default" w:ascii="Times New Roman" w:hAnsi="Times New Roman" w:cs="Times New Roman"/>
        </w:rPr>
      </w:pPr>
      <w:r>
        <w:t>If students have completed some core courses during their master's program, they may</w:t>
      </w:r>
      <w:r>
        <w:rPr>
          <w:rFonts w:hint="eastAsia"/>
          <w:lang w:val="en-US" w:eastAsia="zh-TW"/>
        </w:rPr>
        <w:t xml:space="preserve"> </w:t>
      </w:r>
      <w:r>
        <w:rPr>
          <w:rFonts w:hint="default" w:ascii="Times New Roman" w:hAnsi="Times New Roman" w:eastAsia="SimSun" w:cs="Times New Roman"/>
          <w:sz w:val="24"/>
          <w:szCs w:val="24"/>
        </w:rPr>
        <w:t>apply for course exemption by taking other recommended relevant courses as suggested by their advisor, and after approval from the C</w:t>
      </w:r>
      <w:r>
        <w:rPr>
          <w:rFonts w:hint="eastAsia" w:cs="Times New Roman"/>
          <w:sz w:val="24"/>
          <w:szCs w:val="24"/>
          <w:lang w:val="en-US" w:eastAsia="zh-TW"/>
        </w:rPr>
        <w:t>urriculum</w:t>
      </w:r>
      <w:r>
        <w:rPr>
          <w:rFonts w:hint="default" w:ascii="Times New Roman" w:hAnsi="Times New Roman" w:eastAsia="SimSun" w:cs="Times New Roman"/>
          <w:sz w:val="24"/>
          <w:szCs w:val="24"/>
        </w:rPr>
        <w:t xml:space="preserve"> Committee.</w:t>
      </w:r>
      <w:r>
        <w:rPr>
          <w:rFonts w:hint="eastAsia" w:cs="Times New Roman"/>
          <w:sz w:val="24"/>
          <w:szCs w:val="24"/>
          <w:lang w:val="en-US" w:eastAsia="zh-TW"/>
        </w:rPr>
        <w:t xml:space="preserve"> </w:t>
      </w:r>
    </w:p>
    <w:p w14:paraId="589B2DF4">
      <w:pPr>
        <w:pStyle w:val="6"/>
        <w:numPr>
          <w:numId w:val="0"/>
        </w:numPr>
        <w:tabs>
          <w:tab w:val="left" w:pos="1685"/>
        </w:tabs>
        <w:ind w:left="1915" w:leftChars="0"/>
        <w:rPr>
          <w:rFonts w:hint="default" w:ascii="Times New Roman" w:hAnsi="Times New Roman" w:cs="Times New Roman"/>
        </w:rPr>
      </w:pPr>
    </w:p>
    <w:p w14:paraId="5D715000">
      <w:pPr>
        <w:pStyle w:val="6"/>
        <w:ind w:left="1440" w:leftChars="0"/>
      </w:pPr>
      <w:r>
        <w:t xml:space="preserve">c) </w:t>
      </w:r>
      <w:r>
        <w:rPr>
          <w:rFonts w:hint="eastAsia"/>
        </w:rPr>
        <w:t xml:space="preserve"> </w:t>
      </w:r>
      <w:r>
        <w:t xml:space="preserve">Seminar (5 credits): 5 semesters, 1 credit per semester. </w:t>
      </w:r>
    </w:p>
    <w:p w14:paraId="0C85F53F">
      <w:pPr>
        <w:pStyle w:val="6"/>
        <w:ind w:left="960" w:leftChars="0" w:firstLine="480" w:firstLineChars="0"/>
      </w:pPr>
      <w:r>
        <w:t xml:space="preserve">d) </w:t>
      </w:r>
      <w:r>
        <w:rPr>
          <w:rFonts w:hint="eastAsia"/>
        </w:rPr>
        <w:t xml:space="preserve"> </w:t>
      </w:r>
      <w:r>
        <w:t>Three Major Field Courses (9 credits): Students may define their major field and</w:t>
      </w:r>
      <w:r>
        <w:rPr>
          <w:rFonts w:hint="eastAsia"/>
        </w:rPr>
        <w:t xml:space="preserve"> its </w:t>
      </w:r>
      <w:r>
        <w:rPr>
          <w:rFonts w:hint="eastAsia"/>
          <w:lang w:val="en-US" w:eastAsia="zh-TW"/>
        </w:rPr>
        <w:tab/>
      </w:r>
      <w:r>
        <w:rPr>
          <w:rFonts w:hint="eastAsia"/>
          <w:lang w:val="en-US" w:eastAsia="zh-TW"/>
        </w:rPr>
        <w:tab/>
      </w:r>
      <w:r>
        <w:rPr>
          <w:rFonts w:hint="eastAsia"/>
          <w:lang w:val="en-US" w:eastAsia="zh-TW"/>
        </w:rPr>
        <w:tab/>
      </w:r>
      <w:r>
        <w:t xml:space="preserve">courses, with approval from their advisor. </w:t>
      </w:r>
    </w:p>
    <w:p w14:paraId="0A1E3327">
      <w:pPr>
        <w:pStyle w:val="6"/>
        <w:ind w:left="960" w:leftChars="0" w:firstLine="480" w:firstLineChars="0"/>
      </w:pPr>
      <w:r>
        <w:t xml:space="preserve">e) </w:t>
      </w:r>
      <w:r>
        <w:rPr>
          <w:rFonts w:hint="eastAsia"/>
        </w:rPr>
        <w:t xml:space="preserve"> </w:t>
      </w:r>
      <w:r>
        <w:t xml:space="preserve">Requests for course credit transfer must be submitted to the </w:t>
      </w:r>
      <w:r>
        <w:rPr>
          <w:rFonts w:hint="eastAsia"/>
        </w:rPr>
        <w:t>C</w:t>
      </w:r>
      <w:r>
        <w:t xml:space="preserve">urriculum </w:t>
      </w:r>
      <w:r>
        <w:rPr>
          <w:rFonts w:hint="eastAsia"/>
        </w:rPr>
        <w:t>C</w:t>
      </w:r>
      <w:r>
        <w:t xml:space="preserve">ommittee </w:t>
      </w:r>
      <w:r>
        <w:rPr>
          <w:rFonts w:hint="eastAsia"/>
          <w:lang w:val="en-US" w:eastAsia="zh-TW"/>
        </w:rPr>
        <w:tab/>
      </w:r>
      <w:r>
        <w:rPr>
          <w:rFonts w:hint="eastAsia"/>
          <w:lang w:val="en-US" w:eastAsia="zh-TW"/>
        </w:rPr>
        <w:tab/>
      </w:r>
      <w:r>
        <w:rPr>
          <w:rFonts w:hint="eastAsia"/>
          <w:lang w:val="en-US" w:eastAsia="zh-TW"/>
        </w:rPr>
        <w:tab/>
      </w:r>
      <w:r>
        <w:t xml:space="preserve">within the first academic year after enrollment. </w:t>
      </w:r>
    </w:p>
    <w:p w14:paraId="439D1AA9">
      <w:pPr>
        <w:pStyle w:val="7"/>
        <w:spacing w:before="36" w:beforeLines="10" w:after="36" w:afterLines="10" w:line="273" w:lineRule="auto"/>
        <w:ind w:left="420" w:leftChars="0" w:hanging="420" w:hangingChars="175"/>
        <w:rPr>
          <w:rFonts w:ascii="Times New Roman" w:hAnsi="Times New Roman" w:cs="Times New Roman"/>
        </w:rPr>
      </w:pPr>
      <w:r>
        <w:rPr>
          <w:rFonts w:hint="eastAsia" w:ascii="Times New Roman" w:hAnsi="Times New Roman" w:cs="Times New Roman"/>
        </w:rPr>
        <w:t xml:space="preserve"> </w:t>
      </w:r>
    </w:p>
    <w:p w14:paraId="7D14A7C6">
      <w:pPr>
        <w:pStyle w:val="7"/>
        <w:numPr>
          <w:ilvl w:val="0"/>
          <w:numId w:val="2"/>
        </w:numPr>
        <w:tabs>
          <w:tab w:val="left" w:pos="720"/>
          <w:tab w:val="clear" w:pos="1140"/>
        </w:tabs>
        <w:spacing w:before="36" w:beforeLines="10" w:after="36" w:afterLines="10" w:line="273" w:lineRule="auto"/>
        <w:ind w:left="1380" w:leftChars="0"/>
        <w:rPr>
          <w:rFonts w:hint="eastAsia" w:ascii="Times New Roman" w:hAnsi="Times New Roman" w:eastAsia="SimSun" w:cs="Times New Roman"/>
        </w:rPr>
      </w:pPr>
      <w:r>
        <w:rPr>
          <w:rFonts w:hint="eastAsia" w:ascii="Times New Roman" w:hAnsi="Times New Roman" w:eastAsia="新細明體" w:cs="Times New Roman"/>
          <w:b/>
          <w:bCs/>
        </w:rPr>
        <w:t xml:space="preserve"> </w:t>
      </w:r>
      <w:r>
        <w:rPr>
          <w:rFonts w:ascii="Times New Roman" w:hAnsi="Times New Roman" w:eastAsia="SimSun" w:cs="Times New Roman"/>
          <w:b/>
          <w:bCs/>
        </w:rPr>
        <w:t xml:space="preserve">For the 'Industry </w:t>
      </w:r>
      <w:r>
        <w:rPr>
          <w:rFonts w:ascii="Times New Roman" w:hAnsi="Times New Roman" w:eastAsia="新細明體" w:cs="Times New Roman"/>
          <w:b/>
          <w:bCs/>
        </w:rPr>
        <w:t>Group</w:t>
      </w:r>
      <w:r>
        <w:rPr>
          <w:rFonts w:ascii="Times New Roman" w:hAnsi="Times New Roman" w:eastAsia="SimSun" w:cs="Times New Roman"/>
          <w:b/>
          <w:bCs/>
        </w:rPr>
        <w:t>,'</w:t>
      </w:r>
      <w:r>
        <w:rPr>
          <w:rFonts w:ascii="Times New Roman" w:hAnsi="Times New Roman" w:eastAsia="SimSun" w:cs="Times New Roman"/>
        </w:rPr>
        <w:t xml:space="preserve"> students must complete at least 24 credits, excluding the thesis. </w:t>
      </w:r>
    </w:p>
    <w:p w14:paraId="1C7543BA">
      <w:pPr>
        <w:pStyle w:val="7"/>
        <w:numPr>
          <w:ilvl w:val="0"/>
          <w:numId w:val="7"/>
        </w:numPr>
        <w:tabs>
          <w:tab w:val="left" w:pos="1265"/>
          <w:tab w:val="clear" w:pos="1685"/>
        </w:tabs>
        <w:spacing w:before="36" w:beforeLines="10" w:after="36" w:afterLines="10" w:line="273" w:lineRule="auto"/>
        <w:ind w:left="1860" w:leftChars="0"/>
        <w:rPr>
          <w:rFonts w:ascii="Times New Roman" w:hAnsi="Times New Roman" w:eastAsia="SimSun" w:cs="Times New Roman"/>
        </w:rPr>
      </w:pPr>
      <w:r>
        <w:rPr>
          <w:rFonts w:ascii="Times New Roman" w:hAnsi="Times New Roman" w:eastAsia="SimSun" w:cs="Times New Roman"/>
        </w:rPr>
        <w:t xml:space="preserve">Prerequisite Courses (18 credits): </w:t>
      </w:r>
    </w:p>
    <w:p w14:paraId="59B40684">
      <w:pPr>
        <w:pStyle w:val="7"/>
        <w:numPr>
          <w:ilvl w:val="0"/>
          <w:numId w:val="8"/>
        </w:numPr>
        <w:tabs>
          <w:tab w:val="left" w:pos="1685"/>
          <w:tab w:val="clear" w:pos="2105"/>
        </w:tabs>
        <w:spacing w:before="36" w:beforeLines="10" w:after="36" w:afterLines="10" w:line="273" w:lineRule="auto"/>
        <w:ind w:left="2340" w:leftChars="0"/>
        <w:rPr>
          <w:rFonts w:ascii="Times New Roman" w:hAnsi="Times New Roman" w:eastAsia="SimSun" w:cs="Times New Roman"/>
        </w:rPr>
      </w:pPr>
      <w:r>
        <w:rPr>
          <w:rFonts w:ascii="Times New Roman" w:hAnsi="Times New Roman" w:eastAsia="SimSun" w:cs="Times New Roman"/>
        </w:rPr>
        <w:t xml:space="preserve">Management Courses: Marketing Management, Financial Management, Production and Operations Management, Human Resource Management, Managerial Accounting, Corporate Strategy. </w:t>
      </w:r>
    </w:p>
    <w:p w14:paraId="6A6AEEE3">
      <w:pPr>
        <w:pStyle w:val="7"/>
        <w:numPr>
          <w:ilvl w:val="0"/>
          <w:numId w:val="8"/>
        </w:numPr>
        <w:tabs>
          <w:tab w:val="left" w:pos="1685"/>
          <w:tab w:val="clear" w:pos="2105"/>
        </w:tabs>
        <w:spacing w:before="36" w:beforeLines="10" w:after="36" w:afterLines="10" w:line="273" w:lineRule="auto"/>
        <w:ind w:left="2340" w:leftChars="0"/>
        <w:rPr>
          <w:rFonts w:ascii="Times New Roman" w:hAnsi="Times New Roman" w:eastAsia="SimSun" w:cs="Times New Roman"/>
        </w:rPr>
      </w:pPr>
      <w:r>
        <w:rPr>
          <w:rFonts w:ascii="Times New Roman" w:hAnsi="Times New Roman" w:eastAsia="SimSun" w:cs="Times New Roman"/>
        </w:rPr>
        <w:t xml:space="preserve">Information Technology Courses: Software Engineering, Enterprise Computer Networks, Information Models. </w:t>
      </w:r>
    </w:p>
    <w:p w14:paraId="235B5AC0">
      <w:pPr>
        <w:pStyle w:val="7"/>
        <w:numPr>
          <w:ilvl w:val="0"/>
          <w:numId w:val="8"/>
        </w:numPr>
        <w:tabs>
          <w:tab w:val="left" w:pos="1685"/>
          <w:tab w:val="clear" w:pos="2105"/>
        </w:tabs>
        <w:spacing w:before="36" w:beforeLines="10" w:after="36" w:afterLines="10" w:line="273" w:lineRule="auto"/>
        <w:ind w:left="2340" w:leftChars="0"/>
        <w:rPr>
          <w:rFonts w:ascii="Times New Roman" w:hAnsi="Times New Roman" w:eastAsia="SimSun" w:cs="Times New Roman"/>
        </w:rPr>
      </w:pPr>
      <w:r>
        <w:rPr>
          <w:rFonts w:ascii="Times New Roman" w:hAnsi="Times New Roman" w:eastAsia="SimSun" w:cs="Times New Roman"/>
        </w:rPr>
        <w:t xml:space="preserve">Prerequisite courses may be waived based on prior graduate credits or relevant work experience, subject to </w:t>
      </w:r>
      <w:r>
        <w:rPr>
          <w:rFonts w:hint="eastAsia" w:ascii="Times New Roman" w:hAnsi="Times New Roman" w:eastAsia="新細明體" w:cs="Times New Roman"/>
        </w:rPr>
        <w:t>C</w:t>
      </w:r>
      <w:r>
        <w:rPr>
          <w:rFonts w:ascii="Times New Roman" w:hAnsi="Times New Roman" w:eastAsia="SimSun" w:cs="Times New Roman"/>
        </w:rPr>
        <w:t xml:space="preserve">urriculum </w:t>
      </w:r>
      <w:r>
        <w:rPr>
          <w:rFonts w:hint="eastAsia" w:ascii="Times New Roman" w:hAnsi="Times New Roman" w:eastAsia="新細明體" w:cs="Times New Roman"/>
        </w:rPr>
        <w:t>C</w:t>
      </w:r>
      <w:r>
        <w:rPr>
          <w:rFonts w:ascii="Times New Roman" w:hAnsi="Times New Roman" w:eastAsia="SimSun" w:cs="Times New Roman"/>
        </w:rPr>
        <w:t xml:space="preserve">ommittee approval. Exams may also be used for credit recognition if necessary. </w:t>
      </w:r>
    </w:p>
    <w:p w14:paraId="02B53AE4">
      <w:pPr>
        <w:pStyle w:val="7"/>
        <w:spacing w:before="36" w:beforeLines="10" w:after="36" w:afterLines="10" w:line="273" w:lineRule="auto"/>
        <w:ind w:left="1440" w:leftChars="0"/>
        <w:rPr>
          <w:rFonts w:ascii="Times New Roman" w:hAnsi="Times New Roman" w:eastAsia="SimSun" w:cs="Times New Roman"/>
        </w:rPr>
      </w:pPr>
      <w:r>
        <w:rPr>
          <w:rFonts w:ascii="Times New Roman" w:hAnsi="Times New Roman" w:eastAsia="SimSun" w:cs="Times New Roman"/>
        </w:rPr>
        <w:t xml:space="preserve"> </w:t>
      </w:r>
    </w:p>
    <w:p w14:paraId="7DA0E6B6">
      <w:pPr>
        <w:pStyle w:val="7"/>
        <w:numPr>
          <w:ilvl w:val="0"/>
          <w:numId w:val="7"/>
        </w:numPr>
        <w:tabs>
          <w:tab w:val="left" w:pos="1265"/>
          <w:tab w:val="clear" w:pos="1685"/>
        </w:tabs>
        <w:spacing w:before="36" w:beforeLines="10" w:after="36" w:afterLines="10" w:line="273" w:lineRule="auto"/>
        <w:ind w:left="1860" w:leftChars="0"/>
        <w:rPr>
          <w:rFonts w:ascii="Times New Roman" w:hAnsi="Times New Roman" w:cs="Times New Roman"/>
        </w:rPr>
      </w:pPr>
      <w:r>
        <w:rPr>
          <w:rFonts w:ascii="Times New Roman" w:hAnsi="Times New Roman" w:eastAsia="SimSun" w:cs="Times New Roman"/>
        </w:rPr>
        <w:t xml:space="preserve">Core Courses (14 credits): </w:t>
      </w:r>
    </w:p>
    <w:p w14:paraId="20BFC291">
      <w:pPr>
        <w:pStyle w:val="7"/>
        <w:numPr>
          <w:ilvl w:val="0"/>
          <w:numId w:val="9"/>
        </w:numPr>
        <w:tabs>
          <w:tab w:val="left" w:pos="1685"/>
          <w:tab w:val="clear" w:pos="2105"/>
        </w:tabs>
        <w:spacing w:before="36" w:beforeLines="10" w:after="36" w:afterLines="10" w:line="273" w:lineRule="auto"/>
        <w:ind w:left="2340" w:leftChars="0"/>
        <w:rPr>
          <w:rFonts w:ascii="Times New Roman" w:hAnsi="Times New Roman" w:eastAsia="SimSun" w:cs="Times New Roman"/>
        </w:rPr>
      </w:pPr>
      <w:r>
        <w:rPr>
          <w:rFonts w:ascii="Times New Roman" w:hAnsi="Times New Roman" w:eastAsia="SimSun" w:cs="Times New Roman"/>
        </w:rPr>
        <w:t>Information Management Research</w:t>
      </w:r>
      <w:r>
        <w:rPr>
          <w:rFonts w:hint="eastAsia" w:ascii="Times New Roman" w:hAnsi="Times New Roman" w:eastAsia="新細明體" w:cs="Times New Roman"/>
          <w:lang w:val="en-US" w:eastAsia="zh-TW"/>
        </w:rPr>
        <w:t xml:space="preserve"> and</w:t>
      </w:r>
      <w:r>
        <w:rPr>
          <w:rFonts w:ascii="Times New Roman" w:hAnsi="Times New Roman" w:eastAsia="SimSun" w:cs="Times New Roman"/>
        </w:rPr>
        <w:t xml:space="preserve"> Research Methods</w:t>
      </w:r>
      <w:r>
        <w:rPr>
          <w:rFonts w:hint="eastAsia" w:ascii="Times New Roman" w:hAnsi="Times New Roman" w:eastAsia="新細明體" w:cs="Times New Roman"/>
          <w:lang w:val="en-US" w:eastAsia="zh-TW"/>
        </w:rPr>
        <w:t xml:space="preserve"> courses:</w:t>
      </w:r>
      <w:r>
        <w:rPr>
          <w:rFonts w:ascii="Times New Roman" w:hAnsi="Times New Roman" w:eastAsia="SimSun" w:cs="Times New Roman"/>
        </w:rPr>
        <w:t xml:space="preserve"> (Research Methods, Multivariate Analysis, Qualitative Research Methods, Quantitative Research Methods, and Theoretical Development and Model Building in Information Systems </w:t>
      </w:r>
      <w:r>
        <w:rPr>
          <w:rFonts w:hint="eastAsia" w:ascii="Times New Roman" w:hAnsi="Times New Roman" w:eastAsia="新細明體" w:cs="Times New Roman"/>
        </w:rPr>
        <w:t>-</w:t>
      </w:r>
      <w:r>
        <w:rPr>
          <w:rFonts w:ascii="Times New Roman" w:hAnsi="Times New Roman" w:eastAsia="SimSun" w:cs="Times New Roman"/>
        </w:rPr>
        <w:t xml:space="preserve">- select any two courses); Management Communication (2 credits); and Management Information Systems. </w:t>
      </w:r>
    </w:p>
    <w:p w14:paraId="7797F530">
      <w:pPr>
        <w:pStyle w:val="7"/>
        <w:numPr>
          <w:ilvl w:val="0"/>
          <w:numId w:val="9"/>
        </w:numPr>
        <w:tabs>
          <w:tab w:val="left" w:pos="1685"/>
          <w:tab w:val="clear" w:pos="2105"/>
        </w:tabs>
        <w:spacing w:before="36" w:beforeLines="10" w:after="36" w:afterLines="10" w:line="273" w:lineRule="auto"/>
        <w:ind w:left="2340" w:leftChars="0"/>
        <w:rPr>
          <w:rFonts w:ascii="Times New Roman" w:hAnsi="Times New Roman" w:cs="Times New Roman"/>
        </w:rPr>
      </w:pPr>
      <w:r>
        <w:rPr>
          <w:rFonts w:ascii="Times New Roman" w:hAnsi="Times New Roman" w:eastAsia="SimSun" w:cs="Times New Roman"/>
        </w:rPr>
        <w:t xml:space="preserve">If students have completed some core courses during their master's program, they may, with advisor recommendation and </w:t>
      </w:r>
      <w:r>
        <w:rPr>
          <w:rFonts w:hint="eastAsia" w:ascii="Times New Roman" w:hAnsi="Times New Roman" w:eastAsia="新細明體" w:cs="Times New Roman"/>
        </w:rPr>
        <w:t>C</w:t>
      </w:r>
      <w:r>
        <w:rPr>
          <w:rFonts w:ascii="Times New Roman" w:hAnsi="Times New Roman" w:eastAsia="SimSun" w:cs="Times New Roman"/>
        </w:rPr>
        <w:t xml:space="preserve">urriculum </w:t>
      </w:r>
      <w:r>
        <w:rPr>
          <w:rFonts w:hint="eastAsia" w:ascii="Times New Roman" w:hAnsi="Times New Roman" w:eastAsia="新細明體" w:cs="Times New Roman"/>
        </w:rPr>
        <w:t>C</w:t>
      </w:r>
      <w:r>
        <w:rPr>
          <w:rFonts w:ascii="Times New Roman" w:hAnsi="Times New Roman" w:eastAsia="SimSun" w:cs="Times New Roman"/>
        </w:rPr>
        <w:t xml:space="preserve">ommittee approval, substitute other relevant courses. </w:t>
      </w:r>
    </w:p>
    <w:p w14:paraId="1BA61B57">
      <w:pPr>
        <w:pStyle w:val="7"/>
        <w:spacing w:before="36" w:beforeLines="10" w:after="36" w:afterLines="10" w:line="273" w:lineRule="auto"/>
        <w:ind w:left="1440" w:leftChars="0"/>
        <w:rPr>
          <w:rFonts w:ascii="Times New Roman" w:hAnsi="Times New Roman" w:cs="Times New Roman"/>
        </w:rPr>
      </w:pPr>
      <w:r>
        <w:rPr>
          <w:rFonts w:ascii="Times New Roman" w:hAnsi="Times New Roman" w:cs="Times New Roman"/>
        </w:rPr>
        <w:t xml:space="preserve"> </w:t>
      </w:r>
    </w:p>
    <w:p w14:paraId="4386BFA5">
      <w:pPr>
        <w:pStyle w:val="7"/>
        <w:numPr>
          <w:ilvl w:val="0"/>
          <w:numId w:val="7"/>
        </w:numPr>
        <w:tabs>
          <w:tab w:val="left" w:pos="1265"/>
          <w:tab w:val="clear" w:pos="1685"/>
        </w:tabs>
        <w:spacing w:before="36" w:beforeLines="10" w:after="36" w:afterLines="10" w:line="273" w:lineRule="auto"/>
        <w:ind w:left="1860" w:leftChars="0"/>
        <w:rPr>
          <w:rFonts w:ascii="Times New Roman" w:hAnsi="Times New Roman" w:cs="Times New Roman"/>
        </w:rPr>
      </w:pPr>
      <w:r>
        <w:rPr>
          <w:rFonts w:ascii="Times New Roman" w:hAnsi="Times New Roman" w:eastAsia="SimSun" w:cs="Times New Roman"/>
        </w:rPr>
        <w:t xml:space="preserve">Seminar (1 credit): 1 semester, 1 credit per semester. </w:t>
      </w:r>
    </w:p>
    <w:p w14:paraId="0A7DFED6">
      <w:pPr>
        <w:pStyle w:val="7"/>
        <w:numPr>
          <w:ilvl w:val="0"/>
          <w:numId w:val="7"/>
        </w:numPr>
        <w:tabs>
          <w:tab w:val="left" w:pos="1265"/>
          <w:tab w:val="clear" w:pos="1685"/>
        </w:tabs>
        <w:spacing w:before="36" w:beforeLines="10" w:after="36" w:afterLines="10" w:line="273" w:lineRule="auto"/>
        <w:ind w:left="1860" w:leftChars="0"/>
        <w:rPr>
          <w:rFonts w:ascii="Times New Roman" w:hAnsi="Times New Roman" w:cs="Times New Roman"/>
        </w:rPr>
      </w:pPr>
      <w:r>
        <w:rPr>
          <w:rFonts w:ascii="Times New Roman" w:hAnsi="Times New Roman" w:eastAsia="SimSun" w:cs="Times New Roman"/>
        </w:rPr>
        <w:t xml:space="preserve">Three Major Field Courses (9 credits): Students may define their major field and courses, with approval from their advisor. </w:t>
      </w:r>
    </w:p>
    <w:p w14:paraId="1EA5FEEF">
      <w:pPr>
        <w:pStyle w:val="7"/>
        <w:numPr>
          <w:ilvl w:val="0"/>
          <w:numId w:val="7"/>
        </w:numPr>
        <w:tabs>
          <w:tab w:val="left" w:pos="1265"/>
          <w:tab w:val="clear" w:pos="1685"/>
        </w:tabs>
        <w:spacing w:before="36" w:beforeLines="10" w:after="36" w:afterLines="10" w:line="273" w:lineRule="auto"/>
        <w:ind w:left="1860" w:leftChars="0"/>
        <w:rPr>
          <w:rFonts w:ascii="Times New Roman" w:hAnsi="Times New Roman" w:cs="Times New Roman"/>
        </w:rPr>
      </w:pPr>
      <w:r>
        <w:rPr>
          <w:rFonts w:ascii="Times New Roman" w:hAnsi="Times New Roman" w:eastAsia="SimSun" w:cs="Times New Roman"/>
        </w:rPr>
        <w:t xml:space="preserve">Requests for course credit transfer must be submitted to the </w:t>
      </w:r>
      <w:r>
        <w:rPr>
          <w:rFonts w:hint="eastAsia" w:ascii="Times New Roman" w:hAnsi="Times New Roman" w:eastAsia="新細明體" w:cs="Times New Roman"/>
        </w:rPr>
        <w:t>C</w:t>
      </w:r>
      <w:r>
        <w:rPr>
          <w:rFonts w:ascii="Times New Roman" w:hAnsi="Times New Roman" w:eastAsia="SimSun" w:cs="Times New Roman"/>
        </w:rPr>
        <w:t xml:space="preserve">urriculum </w:t>
      </w:r>
      <w:r>
        <w:rPr>
          <w:rFonts w:hint="eastAsia" w:ascii="Times New Roman" w:hAnsi="Times New Roman" w:eastAsia="新細明體" w:cs="Times New Roman"/>
        </w:rPr>
        <w:t>C</w:t>
      </w:r>
      <w:r>
        <w:rPr>
          <w:rFonts w:ascii="Times New Roman" w:hAnsi="Times New Roman" w:eastAsia="SimSun" w:cs="Times New Roman"/>
        </w:rPr>
        <w:t>ommittee within the first academic year after enrollment.</w:t>
      </w:r>
    </w:p>
    <w:p w14:paraId="6131CA39">
      <w:pPr>
        <w:pStyle w:val="9"/>
        <w:rPr>
          <w:rFonts w:ascii="Times New Roman" w:hAnsi="Times New Roman" w:cs="Times New Roman"/>
        </w:rPr>
      </w:pPr>
      <w:r>
        <w:rPr>
          <w:rFonts w:ascii="Times New Roman" w:hAnsi="Times New Roman" w:cs="Times New Roman"/>
          <w:b/>
          <w:bCs/>
        </w:rPr>
        <w:t>Article 6:</w:t>
      </w:r>
      <w:r>
        <w:rPr>
          <w:rFonts w:hint="eastAsia" w:ascii="Times New Roman" w:hAnsi="Times New Roman" w:cs="Times New Roman"/>
          <w:b/>
          <w:bCs/>
          <w:lang w:val="en-US" w:eastAsia="zh-TW"/>
        </w:rPr>
        <w:tab/>
      </w:r>
      <w:r>
        <w:rPr>
          <w:rFonts w:ascii="Times New Roman" w:hAnsi="Times New Roman" w:cs="Times New Roman"/>
        </w:rPr>
        <w:t>The review process for the application of the thesis proposal oral examination is as follows:</w:t>
      </w:r>
    </w:p>
    <w:p w14:paraId="4E27DDC6">
      <w:pPr>
        <w:pStyle w:val="6"/>
        <w:widowControl/>
        <w:numPr>
          <w:ilvl w:val="0"/>
          <w:numId w:val="10"/>
        </w:numPr>
        <w:tabs>
          <w:tab w:val="left" w:pos="720"/>
          <w:tab w:val="clear" w:pos="1560"/>
        </w:tabs>
        <w:spacing w:before="100" w:beforeAutospacing="1" w:after="100" w:afterAutospacing="1"/>
        <w:ind w:left="1560" w:leftChars="0"/>
      </w:pPr>
      <w:r>
        <w:t>After obtaining approval from the thesis advisor, the thesis proposal must be submitted and a Thesis Proposal Oral Examination Committee must be formed to conduct an oral review of the proposal.</w:t>
      </w:r>
    </w:p>
    <w:p w14:paraId="6A73D270">
      <w:pPr>
        <w:pStyle w:val="6"/>
        <w:widowControl/>
        <w:numPr>
          <w:ilvl w:val="0"/>
          <w:numId w:val="10"/>
        </w:numPr>
        <w:tabs>
          <w:tab w:val="left" w:pos="720"/>
          <w:tab w:val="clear" w:pos="1560"/>
        </w:tabs>
        <w:spacing w:before="100" w:beforeAutospacing="1" w:after="100" w:afterAutospacing="1"/>
        <w:ind w:left="1560" w:leftChars="0"/>
      </w:pPr>
      <w:r>
        <w:t>The Thesis Proposal Oral Examination Committee shall consist of five to seven members, who may be recommended by the thesis advisor and must meet the requirements set forth in the university's 'Regulations for Doctoral and Master's Degree Examinations.'</w:t>
      </w:r>
    </w:p>
    <w:p w14:paraId="785D06E6">
      <w:pPr>
        <w:pStyle w:val="6"/>
        <w:widowControl/>
        <w:numPr>
          <w:ilvl w:val="0"/>
          <w:numId w:val="10"/>
        </w:numPr>
        <w:tabs>
          <w:tab w:val="left" w:pos="720"/>
          <w:tab w:val="clear" w:pos="1560"/>
        </w:tabs>
        <w:spacing w:before="100" w:beforeAutospacing="1" w:after="100" w:afterAutospacing="1"/>
        <w:ind w:left="1560" w:leftChars="0"/>
      </w:pPr>
      <w:r>
        <w:t>The thesis proposal oral examination is considered passed if the average score is 70 or above. If the proposal does not pass, it may be resubmitted after six months.</w:t>
      </w:r>
    </w:p>
    <w:p w14:paraId="23DE9B32">
      <w:pPr>
        <w:pStyle w:val="9"/>
        <w:rPr>
          <w:rFonts w:ascii="Times New Roman" w:hAnsi="Times New Roman" w:cs="Times New Roman"/>
        </w:rPr>
      </w:pPr>
      <w:r>
        <w:rPr>
          <w:rFonts w:ascii="Times New Roman" w:hAnsi="Times New Roman" w:cs="Times New Roman"/>
          <w:b/>
          <w:bCs/>
        </w:rPr>
        <w:t>Article 7:</w:t>
      </w:r>
      <w:r>
        <w:rPr>
          <w:rFonts w:hint="eastAsia" w:ascii="Times New Roman" w:hAnsi="Times New Roman" w:cs="Times New Roman"/>
          <w:b/>
          <w:bCs/>
          <w:lang w:val="en-US" w:eastAsia="zh-TW"/>
        </w:rPr>
        <w:tab/>
      </w:r>
      <w:r>
        <w:rPr>
          <w:rFonts w:ascii="Times New Roman" w:hAnsi="Times New Roman" w:cs="Times New Roman"/>
        </w:rPr>
        <w:t xml:space="preserve">Doctoral candidates in the department must meet the publication requirements for journal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papers</w:t>
      </w:r>
      <w:r>
        <w:rPr>
          <w:rFonts w:hint="eastAsia" w:ascii="Times New Roman" w:hAnsi="Times New Roman" w:cs="Times New Roman"/>
        </w:rPr>
        <w:t xml:space="preserve"> and be</w:t>
      </w:r>
      <w:r>
        <w:rPr>
          <w:rFonts w:ascii="Times New Roman" w:hAnsi="Times New Roman" w:cs="Times New Roman"/>
        </w:rPr>
        <w:t xml:space="preserve"> approved by their thesis advisor before applying for the doctoral dissertation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oral examination.</w:t>
      </w:r>
    </w:p>
    <w:p w14:paraId="2DF48789">
      <w:pPr>
        <w:pStyle w:val="9"/>
        <w:numPr>
          <w:ilvl w:val="0"/>
          <w:numId w:val="11"/>
        </w:numPr>
        <w:ind w:left="1140" w:leftChars="0"/>
        <w:rPr>
          <w:rFonts w:ascii="Times New Roman" w:hAnsi="Times New Roman" w:cs="Times New Roman"/>
        </w:rPr>
      </w:pPr>
      <w:r>
        <w:rPr>
          <w:rFonts w:ascii="Times New Roman" w:hAnsi="Times New Roman" w:cs="Times New Roman"/>
        </w:rPr>
        <w:t>'</w:t>
      </w:r>
      <w:r>
        <w:rPr>
          <w:rFonts w:hint="eastAsia" w:ascii="Times New Roman" w:hAnsi="Times New Roman" w:cs="Times New Roman"/>
          <w:lang w:val="en-US" w:eastAsia="zh-TW"/>
        </w:rPr>
        <w:t xml:space="preserve">Information </w:t>
      </w:r>
      <w:r>
        <w:rPr>
          <w:rFonts w:ascii="Times New Roman" w:hAnsi="Times New Roman" w:cs="Times New Roman"/>
        </w:rPr>
        <w:t xml:space="preserve">Systems </w:t>
      </w:r>
      <w:r>
        <w:rPr>
          <w:rFonts w:hint="eastAsia" w:ascii="Times New Roman" w:hAnsi="Times New Roman" w:cs="Times New Roman"/>
        </w:rPr>
        <w:t>Group</w:t>
      </w:r>
      <w:r>
        <w:rPr>
          <w:rFonts w:ascii="Times New Roman" w:hAnsi="Times New Roman" w:cs="Times New Roman"/>
        </w:rPr>
        <w:t xml:space="preserve">' Publication Requirements (must satisfy one of the following conditions): </w:t>
      </w:r>
    </w:p>
    <w:p w14:paraId="1900595B">
      <w:pPr>
        <w:pStyle w:val="9"/>
        <w:numPr>
          <w:ilvl w:val="0"/>
          <w:numId w:val="12"/>
        </w:numPr>
        <w:ind w:left="1500" w:leftChars="0"/>
        <w:rPr>
          <w:rFonts w:ascii="Times New Roman" w:hAnsi="Times New Roman" w:cs="Times New Roman"/>
        </w:rPr>
      </w:pPr>
      <w:r>
        <w:rPr>
          <w:rFonts w:ascii="Times New Roman" w:hAnsi="Times New Roman" w:cs="Times New Roman"/>
        </w:rPr>
        <w:t xml:space="preserve">Publish one paper in a journal indexed by SCIE or SSCI. </w:t>
      </w:r>
    </w:p>
    <w:p w14:paraId="3D70AF95">
      <w:pPr>
        <w:pStyle w:val="9"/>
        <w:numPr>
          <w:ilvl w:val="0"/>
          <w:numId w:val="12"/>
        </w:numPr>
        <w:ind w:left="1500" w:leftChars="0"/>
        <w:rPr>
          <w:rFonts w:ascii="Times New Roman" w:hAnsi="Times New Roman" w:cs="Times New Roman"/>
        </w:rPr>
      </w:pPr>
      <w:r>
        <w:rPr>
          <w:rFonts w:ascii="Times New Roman" w:hAnsi="Times New Roman" w:cs="Times New Roman"/>
        </w:rPr>
        <w:t>Publish two papers in TSSCI journals or other international academic journals</w:t>
      </w:r>
      <w:r>
        <w:rPr>
          <w:rFonts w:hint="eastAsia" w:ascii="Times New Roman" w:hAnsi="Times New Roman" w:cs="Times New Roman"/>
        </w:rPr>
        <w:t xml:space="preserve"> </w:t>
      </w:r>
      <w:r>
        <w:rPr>
          <w:rFonts w:ascii="Times New Roman" w:hAnsi="Times New Roman" w:cs="Times New Roman"/>
        </w:rPr>
        <w:t xml:space="preserve">with a </w:t>
      </w:r>
      <w:r>
        <w:rPr>
          <w:rFonts w:hint="eastAsia" w:ascii="Times New Roman" w:hAnsi="Times New Roman" w:cs="Times New Roman"/>
          <w:lang w:val="en-US" w:eastAsia="zh-TW"/>
        </w:rPr>
        <w:tab/>
      </w:r>
      <w:r>
        <w:rPr>
          <w:rFonts w:ascii="Times New Roman" w:hAnsi="Times New Roman" w:cs="Times New Roman"/>
        </w:rPr>
        <w:t>peer-review process, and have completed six years of study.</w:t>
      </w:r>
    </w:p>
    <w:p w14:paraId="270CB176">
      <w:pPr>
        <w:pStyle w:val="9"/>
        <w:numPr>
          <w:ilvl w:val="0"/>
          <w:numId w:val="11"/>
        </w:numPr>
        <w:ind w:left="1140" w:leftChars="0"/>
        <w:rPr>
          <w:rFonts w:ascii="Times New Roman" w:hAnsi="Times New Roman" w:cs="Times New Roman"/>
        </w:rPr>
      </w:pPr>
      <w:r>
        <w:rPr>
          <w:rFonts w:ascii="Times New Roman" w:hAnsi="Times New Roman" w:cs="Times New Roman"/>
        </w:rPr>
        <w:t>'Management</w:t>
      </w:r>
      <w:r>
        <w:rPr>
          <w:rFonts w:hint="eastAsia" w:ascii="Times New Roman" w:hAnsi="Times New Roman" w:cs="Times New Roman"/>
        </w:rPr>
        <w:t xml:space="preserve"> Group</w:t>
      </w:r>
      <w:r>
        <w:rPr>
          <w:rFonts w:ascii="Times New Roman" w:hAnsi="Times New Roman" w:cs="Times New Roman"/>
        </w:rPr>
        <w:t xml:space="preserve">' Publication Requirements (must satisfy one of the following </w:t>
      </w:r>
      <w:r>
        <w:rPr>
          <w:rFonts w:hint="eastAsia" w:ascii="Times New Roman" w:hAnsi="Times New Roman" w:cs="Times New Roman"/>
          <w:lang w:val="en-US" w:eastAsia="zh-TW"/>
        </w:rPr>
        <w:t xml:space="preserve"> </w:t>
      </w:r>
      <w:r>
        <w:rPr>
          <w:rFonts w:hint="eastAsia" w:ascii="Times New Roman" w:hAnsi="Times New Roman" w:cs="Times New Roman"/>
          <w:lang w:val="en-US" w:eastAsia="zh-TW"/>
        </w:rPr>
        <w:tab/>
      </w:r>
      <w:r>
        <w:rPr>
          <w:rFonts w:ascii="Times New Roman" w:hAnsi="Times New Roman" w:cs="Times New Roman"/>
        </w:rPr>
        <w:t xml:space="preserve">conditions): </w:t>
      </w:r>
      <w:bookmarkStart w:id="0" w:name="_GoBack"/>
      <w:bookmarkEnd w:id="0"/>
    </w:p>
    <w:p w14:paraId="2D00B68A">
      <w:pPr>
        <w:pStyle w:val="9"/>
        <w:numPr>
          <w:ilvl w:val="0"/>
          <w:numId w:val="13"/>
        </w:numPr>
        <w:ind w:left="1140" w:leftChars="0" w:firstLine="478"/>
        <w:rPr>
          <w:rFonts w:ascii="Times New Roman" w:hAnsi="Times New Roman" w:cs="Times New Roman"/>
        </w:rPr>
      </w:pPr>
      <w:r>
        <w:rPr>
          <w:rFonts w:ascii="Times New Roman" w:hAnsi="Times New Roman" w:cs="Times New Roman"/>
        </w:rPr>
        <w:t xml:space="preserve">Publish one paper in an SSCI-indexed journal. </w:t>
      </w:r>
    </w:p>
    <w:p w14:paraId="0F67883B">
      <w:pPr>
        <w:pStyle w:val="9"/>
        <w:numPr>
          <w:ilvl w:val="0"/>
          <w:numId w:val="13"/>
        </w:numPr>
        <w:ind w:left="1140" w:leftChars="0" w:firstLine="478"/>
        <w:rPr>
          <w:rFonts w:ascii="Times New Roman" w:hAnsi="Times New Roman" w:cs="Times New Roman"/>
        </w:rPr>
      </w:pPr>
      <w:r>
        <w:rPr>
          <w:rFonts w:ascii="Times New Roman" w:hAnsi="Times New Roman" w:cs="Times New Roman"/>
        </w:rPr>
        <w:t xml:space="preserve">Publish two papers in TSSCI journals or other international academic journals with a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peer-review process, and have completed six years of study.</w:t>
      </w:r>
    </w:p>
    <w:p w14:paraId="11E1E679">
      <w:pPr>
        <w:pStyle w:val="9"/>
        <w:numPr>
          <w:ilvl w:val="0"/>
          <w:numId w:val="11"/>
        </w:numPr>
        <w:ind w:left="1140" w:leftChars="0"/>
        <w:rPr>
          <w:rFonts w:ascii="Times New Roman" w:hAnsi="Times New Roman" w:cs="Times New Roman"/>
        </w:rPr>
      </w:pPr>
      <w:r>
        <w:rPr>
          <w:rFonts w:ascii="Times New Roman" w:hAnsi="Times New Roman" w:cs="Times New Roman"/>
        </w:rPr>
        <w:t xml:space="preserve">'Industry </w:t>
      </w:r>
      <w:r>
        <w:rPr>
          <w:rFonts w:hint="eastAsia" w:ascii="Times New Roman" w:hAnsi="Times New Roman" w:cs="Times New Roman"/>
        </w:rPr>
        <w:t>Group</w:t>
      </w:r>
      <w:r>
        <w:rPr>
          <w:rFonts w:ascii="Times New Roman" w:hAnsi="Times New Roman" w:cs="Times New Roman"/>
        </w:rPr>
        <w:t xml:space="preserve">' Publication Requirements (must satisfy one of the following conditions): </w:t>
      </w:r>
    </w:p>
    <w:p w14:paraId="22537BC9">
      <w:pPr>
        <w:pStyle w:val="9"/>
        <w:numPr>
          <w:ilvl w:val="0"/>
          <w:numId w:val="14"/>
        </w:numPr>
        <w:ind w:left="1140" w:leftChars="0" w:firstLine="478"/>
        <w:rPr>
          <w:rFonts w:ascii="Times New Roman" w:hAnsi="Times New Roman" w:cs="Times New Roman"/>
        </w:rPr>
      </w:pPr>
      <w:r>
        <w:rPr>
          <w:rFonts w:ascii="Times New Roman" w:hAnsi="Times New Roman" w:cs="Times New Roman"/>
        </w:rPr>
        <w:t xml:space="preserve">Publish one paper in a TSSCI journal or other international academic journals with a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 xml:space="preserve">peer-review process. </w:t>
      </w:r>
    </w:p>
    <w:p w14:paraId="77C0A0F6">
      <w:pPr>
        <w:pStyle w:val="9"/>
        <w:numPr>
          <w:ilvl w:val="0"/>
          <w:numId w:val="14"/>
        </w:numPr>
        <w:ind w:left="1140" w:leftChars="0" w:firstLine="478"/>
        <w:rPr>
          <w:rFonts w:ascii="Times New Roman" w:hAnsi="Times New Roman" w:cs="Times New Roman"/>
        </w:rPr>
      </w:pPr>
      <w:r>
        <w:rPr>
          <w:rFonts w:ascii="Times New Roman" w:hAnsi="Times New Roman" w:cs="Times New Roman"/>
        </w:rPr>
        <w:t xml:space="preserve">Publish one paper in an academic journal with a peer-review process, and have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completed five years of study.</w:t>
      </w:r>
    </w:p>
    <w:p w14:paraId="33EC007E">
      <w:pPr>
        <w:pStyle w:val="9"/>
        <w:numPr>
          <w:ilvl w:val="0"/>
          <w:numId w:val="11"/>
        </w:numPr>
        <w:ind w:left="1140" w:leftChars="0"/>
        <w:rPr>
          <w:rFonts w:ascii="Times New Roman" w:hAnsi="Times New Roman" w:cs="Times New Roman"/>
        </w:rPr>
      </w:pPr>
      <w:r>
        <w:rPr>
          <w:rFonts w:ascii="Times New Roman" w:hAnsi="Times New Roman" w:cs="Times New Roman"/>
        </w:rPr>
        <w:t xml:space="preserve">The above-mentioned journal papers must be co-authored with the thesis advisor and </w:t>
      </w:r>
      <w:r>
        <w:rPr>
          <w:rFonts w:hint="eastAsia" w:ascii="Times New Roman" w:hAnsi="Times New Roman" w:cs="Times New Roman"/>
          <w:lang w:val="en-US" w:eastAsia="zh-TW"/>
        </w:rPr>
        <w:tab/>
      </w:r>
      <w:r>
        <w:rPr>
          <w:rFonts w:ascii="Times New Roman" w:hAnsi="Times New Roman" w:cs="Times New Roman"/>
        </w:rPr>
        <w:t xml:space="preserve">published under the name of "National Central University." At least one paper must list the </w:t>
      </w:r>
      <w:r>
        <w:rPr>
          <w:rFonts w:hint="eastAsia" w:ascii="Times New Roman" w:hAnsi="Times New Roman" w:cs="Times New Roman"/>
          <w:lang w:val="en-US" w:eastAsia="zh-TW"/>
        </w:rPr>
        <w:tab/>
      </w:r>
      <w:r>
        <w:rPr>
          <w:rFonts w:ascii="Times New Roman" w:hAnsi="Times New Roman" w:cs="Times New Roman"/>
        </w:rPr>
        <w:t>student as the first author (excluding the advisor).</w:t>
      </w:r>
    </w:p>
    <w:p w14:paraId="7FDBB6D0">
      <w:pPr>
        <w:pStyle w:val="9"/>
        <w:numPr>
          <w:ilvl w:val="0"/>
          <w:numId w:val="11"/>
        </w:numPr>
        <w:ind w:left="1140" w:leftChars="0"/>
        <w:rPr>
          <w:rFonts w:ascii="Times New Roman" w:hAnsi="Times New Roman" w:cs="Times New Roman"/>
        </w:rPr>
      </w:pPr>
      <w:r>
        <w:rPr>
          <w:rFonts w:ascii="Times New Roman" w:hAnsi="Times New Roman" w:cs="Times New Roman"/>
        </w:rPr>
        <w:t xml:space="preserve">Published journal papers cannot be teaching cases, nor can they be modifications of the </w:t>
      </w:r>
      <w:r>
        <w:rPr>
          <w:rFonts w:hint="eastAsia" w:ascii="Times New Roman" w:hAnsi="Times New Roman" w:cs="Times New Roman"/>
          <w:lang w:val="en-US" w:eastAsia="zh-TW"/>
        </w:rPr>
        <w:tab/>
      </w:r>
      <w:r>
        <w:rPr>
          <w:rFonts w:ascii="Times New Roman" w:hAnsi="Times New Roman" w:cs="Times New Roman"/>
        </w:rPr>
        <w:t xml:space="preserve">student's master's thesis or the theses/dissertations of others. Each journal paper may only be </w:t>
      </w:r>
      <w:r>
        <w:rPr>
          <w:rFonts w:hint="eastAsia" w:ascii="Times New Roman" w:hAnsi="Times New Roman" w:cs="Times New Roman"/>
          <w:lang w:val="en-US" w:eastAsia="zh-TW"/>
        </w:rPr>
        <w:tab/>
      </w:r>
      <w:r>
        <w:rPr>
          <w:rFonts w:ascii="Times New Roman" w:hAnsi="Times New Roman" w:cs="Times New Roman"/>
        </w:rPr>
        <w:t>used to satisfy the graduation requirements for a single degree.</w:t>
      </w:r>
    </w:p>
    <w:p w14:paraId="2B014FFC">
      <w:pPr>
        <w:pStyle w:val="6"/>
        <w:rPr>
          <w:rFonts w:hint="eastAsia"/>
        </w:rPr>
      </w:pPr>
      <w:r>
        <w:rPr>
          <w:b/>
          <w:bCs/>
        </w:rPr>
        <w:t>Article 8:</w:t>
      </w:r>
      <w:r>
        <w:rPr>
          <w:rFonts w:hint="eastAsia"/>
          <w:b/>
          <w:bCs/>
          <w:lang w:val="en-US" w:eastAsia="zh-TW"/>
        </w:rPr>
        <w:tab/>
      </w:r>
      <w:r>
        <w:t xml:space="preserve">Before the thesis oral examination, students must submit all related documents concerning </w:t>
      </w:r>
      <w:r>
        <w:rPr>
          <w:rFonts w:hint="eastAsia"/>
          <w:lang w:val="en-US" w:eastAsia="zh-TW"/>
        </w:rPr>
        <w:tab/>
      </w:r>
      <w:r>
        <w:rPr>
          <w:rFonts w:hint="eastAsia"/>
          <w:lang w:val="en-US" w:eastAsia="zh-TW"/>
        </w:rPr>
        <w:tab/>
      </w:r>
      <w:r>
        <w:rPr>
          <w:rFonts w:hint="eastAsia"/>
          <w:lang w:val="en-US" w:eastAsia="zh-TW"/>
        </w:rPr>
        <w:tab/>
      </w:r>
      <w:r>
        <w:t xml:space="preserve">their published journal papers to the Research Development Committee for review. Only after </w:t>
      </w:r>
      <w:r>
        <w:rPr>
          <w:rFonts w:hint="eastAsia"/>
          <w:lang w:val="en-US" w:eastAsia="zh-TW"/>
        </w:rPr>
        <w:tab/>
      </w:r>
      <w:r>
        <w:rPr>
          <w:rFonts w:hint="eastAsia"/>
          <w:lang w:val="en-US" w:eastAsia="zh-TW"/>
        </w:rPr>
        <w:tab/>
      </w:r>
      <w:r>
        <w:rPr>
          <w:rFonts w:hint="eastAsia"/>
          <w:lang w:val="en-US" w:eastAsia="zh-TW"/>
        </w:rPr>
        <w:tab/>
      </w:r>
      <w:r>
        <w:t xml:space="preserve">passing this review can they apply for the degree examination. The relevant documents </w:t>
      </w:r>
      <w:r>
        <w:rPr>
          <w:rFonts w:hint="eastAsia"/>
          <w:lang w:val="en-US" w:eastAsia="zh-TW"/>
        </w:rPr>
        <w:tab/>
      </w:r>
      <w:r>
        <w:rPr>
          <w:rFonts w:hint="eastAsia"/>
          <w:lang w:val="en-US" w:eastAsia="zh-TW"/>
        </w:rPr>
        <w:tab/>
      </w:r>
      <w:r>
        <w:rPr>
          <w:rFonts w:hint="eastAsia"/>
          <w:lang w:val="en-US" w:eastAsia="zh-TW"/>
        </w:rPr>
        <w:tab/>
      </w:r>
      <w:r>
        <w:rPr>
          <w:rFonts w:hint="eastAsia"/>
          <w:lang w:val="en-US" w:eastAsia="zh-TW"/>
        </w:rPr>
        <w:tab/>
      </w:r>
      <w:r>
        <w:t xml:space="preserve">include the full text of the journal papers, all review comments from the submission process, </w:t>
      </w:r>
      <w:r>
        <w:rPr>
          <w:rFonts w:hint="eastAsia"/>
          <w:lang w:val="en-US" w:eastAsia="zh-TW"/>
        </w:rPr>
        <w:tab/>
      </w:r>
      <w:r>
        <w:rPr>
          <w:rFonts w:hint="eastAsia"/>
          <w:lang w:val="en-US" w:eastAsia="zh-TW"/>
        </w:rPr>
        <w:tab/>
      </w:r>
      <w:r>
        <w:rPr>
          <w:rFonts w:hint="eastAsia"/>
          <w:lang w:val="en-US" w:eastAsia="zh-TW"/>
        </w:rPr>
        <w:tab/>
      </w:r>
      <w:r>
        <w:t xml:space="preserve">and the author's responses. An acceptance letter must be provided if the paper has been </w:t>
      </w:r>
      <w:r>
        <w:rPr>
          <w:rFonts w:hint="eastAsia"/>
          <w:lang w:val="en-US" w:eastAsia="zh-TW"/>
        </w:rPr>
        <w:tab/>
      </w:r>
      <w:r>
        <w:rPr>
          <w:rFonts w:hint="eastAsia"/>
          <w:lang w:val="en-US" w:eastAsia="zh-TW"/>
        </w:rPr>
        <w:tab/>
      </w:r>
      <w:r>
        <w:rPr>
          <w:rFonts w:hint="eastAsia"/>
          <w:lang w:val="en-US" w:eastAsia="zh-TW"/>
        </w:rPr>
        <w:tab/>
      </w:r>
      <w:r>
        <w:rPr>
          <w:rFonts w:hint="eastAsia"/>
          <w:lang w:val="en-US" w:eastAsia="zh-TW"/>
        </w:rPr>
        <w:tab/>
      </w:r>
      <w:r>
        <w:t xml:space="preserve">accepted but not yet published. </w:t>
      </w:r>
    </w:p>
    <w:p w14:paraId="2B63406F">
      <w:pPr>
        <w:pStyle w:val="7"/>
        <w:spacing w:line="400" w:lineRule="exact"/>
        <w:rPr>
          <w:rFonts w:hint="eastAsia" w:ascii="Times New Roman" w:hAnsi="Times New Roman" w:cs="Times New Roman"/>
        </w:rPr>
      </w:pPr>
      <w:r>
        <w:rPr>
          <w:rFonts w:hint="eastAsia" w:ascii="Times New Roman" w:hAnsi="Times New Roman" w:cs="Times New Roman"/>
        </w:rPr>
        <w:t xml:space="preserve"> </w:t>
      </w:r>
    </w:p>
    <w:p w14:paraId="19ABA131">
      <w:pPr>
        <w:pStyle w:val="6"/>
        <w:rPr>
          <w:rFonts w:hint="eastAsia"/>
        </w:rPr>
      </w:pPr>
      <w:r>
        <w:rPr>
          <w:b/>
          <w:bCs/>
        </w:rPr>
        <w:t>Article 9:</w:t>
      </w:r>
      <w:r>
        <w:rPr>
          <w:rFonts w:hint="eastAsia"/>
          <w:b/>
          <w:bCs/>
          <w:lang w:val="en-US" w:eastAsia="zh-TW"/>
        </w:rPr>
        <w:tab/>
      </w:r>
      <w:r>
        <w:t xml:space="preserve">The duration of study is to be handled in accordance with the regulations set forth by the </w:t>
      </w:r>
      <w:r>
        <w:rPr>
          <w:rFonts w:hint="eastAsia"/>
          <w:lang w:val="en-US" w:eastAsia="zh-TW"/>
        </w:rPr>
        <w:tab/>
      </w:r>
      <w:r>
        <w:rPr>
          <w:rFonts w:hint="eastAsia"/>
          <w:lang w:val="en-US" w:eastAsia="zh-TW"/>
        </w:rPr>
        <w:tab/>
      </w:r>
      <w:r>
        <w:rPr>
          <w:rFonts w:hint="eastAsia"/>
          <w:lang w:val="en-US" w:eastAsia="zh-TW"/>
        </w:rPr>
        <w:tab/>
      </w:r>
      <w:r>
        <w:rPr>
          <w:rFonts w:hint="eastAsia"/>
          <w:lang w:val="en-US" w:eastAsia="zh-TW"/>
        </w:rPr>
        <w:tab/>
      </w:r>
      <w:r>
        <w:t>Ministry of Education and the university.</w:t>
      </w:r>
    </w:p>
    <w:p w14:paraId="6853977C">
      <w:pPr>
        <w:pStyle w:val="6"/>
        <w:ind w:firstLine="480"/>
      </w:pPr>
      <w:r>
        <w:t xml:space="preserve"> </w:t>
      </w:r>
    </w:p>
    <w:p w14:paraId="69E76336">
      <w:pPr>
        <w:pStyle w:val="6"/>
        <w:ind w:left="960" w:leftChars="0" w:firstLine="480"/>
      </w:pPr>
      <w:r>
        <w:t xml:space="preserve">For the 'Information Systems </w:t>
      </w:r>
      <w:r>
        <w:rPr>
          <w:rFonts w:hint="eastAsia"/>
        </w:rPr>
        <w:t>Group</w:t>
      </w:r>
      <w:r>
        <w:t xml:space="preserve">' and 'Management </w:t>
      </w:r>
      <w:r>
        <w:rPr>
          <w:rFonts w:hint="eastAsia"/>
        </w:rPr>
        <w:t>Group</w:t>
      </w:r>
      <w:r>
        <w:t xml:space="preserve">,' the English proficiency </w:t>
      </w:r>
      <w:r>
        <w:rPr>
          <w:rFonts w:hint="eastAsia"/>
          <w:lang w:val="en-US" w:eastAsia="zh-TW"/>
        </w:rPr>
        <w:tab/>
      </w:r>
      <w:r>
        <w:t>required for graduation is bench</w:t>
      </w:r>
      <w:r>
        <w:rPr>
          <w:rFonts w:hint="eastAsia"/>
          <w:lang w:val="en-US" w:eastAsia="zh-TW"/>
        </w:rPr>
        <w:t>-</w:t>
      </w:r>
      <w:r>
        <w:t xml:space="preserve">marked against </w:t>
      </w:r>
      <w:r>
        <w:rPr>
          <w:rFonts w:hint="eastAsia"/>
        </w:rPr>
        <w:t xml:space="preserve">the </w:t>
      </w:r>
      <w:r>
        <w:t>third-level/</w:t>
      </w:r>
      <w:r>
        <w:rPr>
          <w:rFonts w:hint="eastAsia"/>
        </w:rPr>
        <w:t>high-</w:t>
      </w:r>
      <w:r>
        <w:t xml:space="preserve">intermediate scores from </w:t>
      </w:r>
      <w:r>
        <w:rPr>
          <w:rFonts w:hint="eastAsia"/>
          <w:lang w:val="en-US" w:eastAsia="zh-TW"/>
        </w:rPr>
        <w:tab/>
      </w:r>
      <w:r>
        <w:t>various English proficiency tests, as listed in the table below:</w:t>
      </w:r>
    </w:p>
    <w:p w14:paraId="6CD5EF6C">
      <w:pPr>
        <w:pStyle w:val="7"/>
        <w:ind w:left="-142" w:leftChars="-71"/>
        <w:rPr>
          <w:rFonts w:ascii="Times New Roman" w:hAnsi="Times New Roman" w:cs="Times New Roman"/>
        </w:rPr>
      </w:pPr>
      <w:r>
        <w:rPr>
          <w:rFonts w:ascii="Times New Roman" w:hAnsi="Times New Roman" w:cs="Times New Roman"/>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707"/>
        <w:gridCol w:w="1407"/>
        <w:gridCol w:w="1036"/>
        <w:gridCol w:w="864"/>
        <w:gridCol w:w="1622"/>
        <w:gridCol w:w="786"/>
        <w:gridCol w:w="842"/>
        <w:gridCol w:w="1286"/>
      </w:tblGrid>
      <w:tr w14:paraId="1912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34" w:type="dxa"/>
            <w:tcBorders>
              <w:top w:val="single" w:color="auto" w:sz="4" w:space="0"/>
              <w:left w:val="single" w:color="auto" w:sz="4" w:space="0"/>
              <w:bottom w:val="single" w:color="auto" w:sz="4" w:space="0"/>
              <w:right w:val="single" w:color="auto" w:sz="4" w:space="0"/>
            </w:tcBorders>
            <w:vAlign w:val="center"/>
          </w:tcPr>
          <w:p w14:paraId="664EF625">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sz w:val="20"/>
                <w:szCs w:val="20"/>
              </w:rPr>
            </w:pPr>
            <w:r>
              <w:rPr>
                <w:rFonts w:hint="eastAsia" w:ascii="Times New Roman" w:hAnsi="Times New Roman" w:cs="Times New Roman"/>
                <w:sz w:val="20"/>
                <w:szCs w:val="20"/>
              </w:rPr>
              <w:t>Test Name</w:t>
            </w:r>
          </w:p>
        </w:tc>
        <w:tc>
          <w:tcPr>
            <w:tcW w:w="1707" w:type="dxa"/>
            <w:tcBorders>
              <w:top w:val="single" w:color="auto" w:sz="4" w:space="0"/>
              <w:left w:val="single" w:color="auto" w:sz="4" w:space="0"/>
              <w:bottom w:val="single" w:color="auto" w:sz="4" w:space="0"/>
              <w:right w:val="single" w:color="auto" w:sz="4" w:space="0"/>
            </w:tcBorders>
            <w:vAlign w:val="center"/>
          </w:tcPr>
          <w:p w14:paraId="7E45E9A4">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sz w:val="20"/>
                <w:szCs w:val="20"/>
              </w:rPr>
            </w:pPr>
            <w:r>
              <w:rPr>
                <w:rFonts w:hint="eastAsia" w:ascii="Times New Roman" w:hAnsi="Times New Roman" w:cs="Times New Roman"/>
                <w:sz w:val="20"/>
                <w:szCs w:val="20"/>
              </w:rPr>
              <w:t>GEPT</w:t>
            </w:r>
          </w:p>
        </w:tc>
        <w:tc>
          <w:tcPr>
            <w:tcW w:w="2443" w:type="dxa"/>
            <w:gridSpan w:val="2"/>
            <w:tcBorders>
              <w:top w:val="single" w:color="auto" w:sz="4" w:space="0"/>
              <w:left w:val="single" w:color="auto" w:sz="4" w:space="0"/>
              <w:bottom w:val="single" w:color="auto" w:sz="4" w:space="0"/>
              <w:right w:val="single" w:color="auto" w:sz="4" w:space="0"/>
            </w:tcBorders>
            <w:vAlign w:val="center"/>
          </w:tcPr>
          <w:p w14:paraId="5B21309D">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ascii="Times New Roman" w:hAnsi="Times New Roman" w:cs="Times New Roman"/>
                <w:sz w:val="20"/>
                <w:szCs w:val="20"/>
              </w:rPr>
              <w:t>FLPT -English</w:t>
            </w:r>
          </w:p>
        </w:tc>
        <w:tc>
          <w:tcPr>
            <w:tcW w:w="864" w:type="dxa"/>
            <w:tcBorders>
              <w:top w:val="single" w:color="auto" w:sz="4" w:space="0"/>
              <w:left w:val="single" w:color="auto" w:sz="4" w:space="0"/>
              <w:bottom w:val="single" w:color="auto" w:sz="4" w:space="0"/>
              <w:right w:val="single" w:color="auto" w:sz="4" w:space="0"/>
            </w:tcBorders>
            <w:vAlign w:val="center"/>
          </w:tcPr>
          <w:p w14:paraId="2352D094">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ascii="Times New Roman" w:hAnsi="Times New Roman" w:cs="Times New Roman"/>
                <w:sz w:val="20"/>
                <w:szCs w:val="20"/>
              </w:rPr>
              <w:t>CSEPT</w:t>
            </w:r>
          </w:p>
        </w:tc>
        <w:tc>
          <w:tcPr>
            <w:tcW w:w="1622" w:type="dxa"/>
            <w:tcBorders>
              <w:top w:val="single" w:color="auto" w:sz="4" w:space="0"/>
              <w:left w:val="single" w:color="auto" w:sz="4" w:space="0"/>
              <w:bottom w:val="single" w:color="auto" w:sz="4" w:space="0"/>
              <w:right w:val="single" w:color="auto" w:sz="4" w:space="0"/>
            </w:tcBorders>
            <w:vAlign w:val="center"/>
          </w:tcPr>
          <w:p w14:paraId="3B187391">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hint="eastAsia" w:ascii="Times New Roman" w:hAnsi="Times New Roman" w:cs="Times New Roman"/>
                <w:sz w:val="20"/>
                <w:szCs w:val="20"/>
              </w:rPr>
              <w:t>TOFEL</w:t>
            </w:r>
          </w:p>
        </w:tc>
        <w:tc>
          <w:tcPr>
            <w:tcW w:w="786" w:type="dxa"/>
            <w:tcBorders>
              <w:top w:val="single" w:color="auto" w:sz="4" w:space="0"/>
              <w:left w:val="single" w:color="auto" w:sz="4" w:space="0"/>
              <w:bottom w:val="single" w:color="auto" w:sz="4" w:space="0"/>
              <w:right w:val="single" w:color="auto" w:sz="4" w:space="0"/>
            </w:tcBorders>
            <w:vAlign w:val="center"/>
          </w:tcPr>
          <w:p w14:paraId="34164530">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ascii="Times New Roman" w:hAnsi="Times New Roman" w:cs="Times New Roman"/>
                <w:sz w:val="20"/>
                <w:szCs w:val="20"/>
              </w:rPr>
              <w:t>IELTS</w:t>
            </w:r>
          </w:p>
        </w:tc>
        <w:tc>
          <w:tcPr>
            <w:tcW w:w="842" w:type="dxa"/>
            <w:tcBorders>
              <w:top w:val="single" w:color="auto" w:sz="4" w:space="0"/>
              <w:left w:val="single" w:color="auto" w:sz="4" w:space="0"/>
              <w:bottom w:val="single" w:color="auto" w:sz="4" w:space="0"/>
              <w:right w:val="single" w:color="auto" w:sz="4" w:space="0"/>
            </w:tcBorders>
            <w:vAlign w:val="center"/>
          </w:tcPr>
          <w:p w14:paraId="55690F2A">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ascii="Times New Roman" w:hAnsi="Times New Roman" w:cs="Times New Roman"/>
                <w:sz w:val="20"/>
                <w:szCs w:val="20"/>
              </w:rPr>
              <w:t>TOEIC</w:t>
            </w:r>
          </w:p>
        </w:tc>
        <w:tc>
          <w:tcPr>
            <w:tcW w:w="1286" w:type="dxa"/>
            <w:tcBorders>
              <w:top w:val="single" w:color="auto" w:sz="4" w:space="0"/>
              <w:left w:val="single" w:color="auto" w:sz="4" w:space="0"/>
              <w:bottom w:val="single" w:color="auto" w:sz="4" w:space="0"/>
              <w:right w:val="single" w:color="auto" w:sz="4" w:space="0"/>
            </w:tcBorders>
            <w:vAlign w:val="center"/>
          </w:tcPr>
          <w:p w14:paraId="3A779819">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ascii="Times New Roman" w:hAnsi="Times New Roman" w:cs="Times New Roman"/>
                <w:sz w:val="20"/>
                <w:szCs w:val="20"/>
              </w:rPr>
              <w:t>BULATS</w:t>
            </w:r>
          </w:p>
        </w:tc>
      </w:tr>
      <w:tr w14:paraId="633D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734" w:type="dxa"/>
            <w:vMerge w:val="restart"/>
            <w:tcBorders>
              <w:top w:val="nil"/>
              <w:left w:val="single" w:color="auto" w:sz="4" w:space="0"/>
              <w:bottom w:val="single" w:color="auto" w:sz="4" w:space="0"/>
              <w:right w:val="single" w:color="auto" w:sz="4" w:space="0"/>
            </w:tcBorders>
            <w:vAlign w:val="center"/>
          </w:tcPr>
          <w:p w14:paraId="00AC6D82">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sz w:val="20"/>
                <w:szCs w:val="20"/>
              </w:rPr>
            </w:pPr>
            <w:r>
              <w:rPr>
                <w:rFonts w:hint="eastAsia" w:ascii="Times New Roman" w:hAnsi="Times New Roman" w:cs="Times New Roman"/>
                <w:sz w:val="20"/>
                <w:szCs w:val="20"/>
              </w:rPr>
              <w:t>Score</w:t>
            </w:r>
          </w:p>
        </w:tc>
        <w:tc>
          <w:tcPr>
            <w:tcW w:w="1707" w:type="dxa"/>
            <w:vMerge w:val="restart"/>
            <w:tcBorders>
              <w:top w:val="nil"/>
              <w:left w:val="single" w:color="auto" w:sz="4" w:space="0"/>
              <w:bottom w:val="single" w:color="auto" w:sz="4" w:space="0"/>
              <w:right w:val="single" w:color="auto" w:sz="4" w:space="0"/>
            </w:tcBorders>
          </w:tcPr>
          <w:p w14:paraId="71F1BC16">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sz w:val="20"/>
                <w:szCs w:val="20"/>
              </w:rPr>
            </w:pPr>
            <w:r>
              <w:rPr>
                <w:rFonts w:ascii="Times New Roman" w:hAnsi="Times New Roman" w:cs="標楷體"/>
                <w:sz w:val="20"/>
                <w:szCs w:val="20"/>
              </w:rPr>
              <w:t xml:space="preserve">Passed the preliminary test of GEPT  </w:t>
            </w:r>
            <w:r>
              <w:rPr>
                <w:rFonts w:hint="eastAsia" w:ascii="Times New Roman" w:hAnsi="Times New Roman" w:cs="Times New Roman"/>
                <w:sz w:val="20"/>
                <w:szCs w:val="20"/>
              </w:rPr>
              <w:t>high-</w:t>
            </w:r>
            <w:r>
              <w:rPr>
                <w:rFonts w:ascii="Times New Roman" w:hAnsi="Times New Roman" w:cs="標楷體"/>
                <w:sz w:val="20"/>
                <w:szCs w:val="20"/>
              </w:rPr>
              <w:t>intermediate</w:t>
            </w:r>
            <w:r>
              <w:rPr>
                <w:rFonts w:ascii="Times New Roman" w:hAnsi="Times New Roman" w:cs="Times New Roman"/>
                <w:sz w:val="20"/>
                <w:szCs w:val="20"/>
              </w:rPr>
              <w:t xml:space="preserve"> </w:t>
            </w:r>
            <w:r>
              <w:rPr>
                <w:rFonts w:ascii="Times New Roman" w:hAnsi="Times New Roman" w:cs="標楷體"/>
                <w:sz w:val="20"/>
                <w:szCs w:val="20"/>
              </w:rPr>
              <w:t>level</w:t>
            </w:r>
          </w:p>
        </w:tc>
        <w:tc>
          <w:tcPr>
            <w:tcW w:w="1407" w:type="dxa"/>
            <w:tcBorders>
              <w:top w:val="single" w:color="auto" w:sz="4" w:space="0"/>
              <w:left w:val="single" w:color="auto" w:sz="4" w:space="0"/>
              <w:bottom w:val="single" w:color="auto" w:sz="4" w:space="0"/>
              <w:right w:val="single" w:color="auto" w:sz="4" w:space="0"/>
            </w:tcBorders>
            <w:vAlign w:val="center"/>
          </w:tcPr>
          <w:p w14:paraId="61C98A1B">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hint="eastAsia" w:ascii="Times New Roman" w:hAnsi="Times New Roman" w:cs="Times New Roman"/>
                <w:sz w:val="20"/>
                <w:szCs w:val="20"/>
              </w:rPr>
              <w:t>Written Test: Listening, Vocabulary and Usage, Reading</w:t>
            </w:r>
          </w:p>
        </w:tc>
        <w:tc>
          <w:tcPr>
            <w:tcW w:w="1036" w:type="dxa"/>
            <w:tcBorders>
              <w:top w:val="single" w:color="auto" w:sz="4" w:space="0"/>
              <w:left w:val="single" w:color="auto" w:sz="4" w:space="0"/>
              <w:bottom w:val="single" w:color="auto" w:sz="4" w:space="0"/>
              <w:right w:val="single" w:color="auto" w:sz="4" w:space="0"/>
            </w:tcBorders>
            <w:vAlign w:val="center"/>
          </w:tcPr>
          <w:p w14:paraId="0BC42BC4">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hint="eastAsia" w:ascii="Times New Roman" w:hAnsi="Times New Roman" w:cs="Times New Roman"/>
                <w:sz w:val="20"/>
                <w:szCs w:val="20"/>
              </w:rPr>
              <w:t>Speaking Test</w:t>
            </w:r>
          </w:p>
        </w:tc>
        <w:tc>
          <w:tcPr>
            <w:tcW w:w="864" w:type="dxa"/>
            <w:vMerge w:val="restart"/>
            <w:tcBorders>
              <w:top w:val="nil"/>
              <w:left w:val="single" w:color="auto" w:sz="4" w:space="0"/>
              <w:bottom w:val="single" w:color="auto" w:sz="4" w:space="0"/>
              <w:right w:val="single" w:color="auto" w:sz="4" w:space="0"/>
            </w:tcBorders>
            <w:vAlign w:val="center"/>
          </w:tcPr>
          <w:p w14:paraId="7FCFBEA3">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ascii="Times New Roman" w:hAnsi="Times New Roman" w:cs="Times New Roman"/>
                <w:sz w:val="20"/>
                <w:szCs w:val="20"/>
              </w:rPr>
              <w:t>240</w:t>
            </w:r>
          </w:p>
        </w:tc>
        <w:tc>
          <w:tcPr>
            <w:tcW w:w="1622" w:type="dxa"/>
            <w:vMerge w:val="restart"/>
            <w:tcBorders>
              <w:top w:val="nil"/>
              <w:left w:val="single" w:color="auto" w:sz="4" w:space="0"/>
              <w:bottom w:val="single" w:color="auto" w:sz="4" w:space="0"/>
              <w:right w:val="single" w:color="auto" w:sz="4" w:space="0"/>
            </w:tcBorders>
            <w:vAlign w:val="center"/>
          </w:tcPr>
          <w:p w14:paraId="5FD17B82">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sz w:val="20"/>
                <w:szCs w:val="20"/>
              </w:rPr>
            </w:pPr>
            <w:r>
              <w:rPr>
                <w:rFonts w:ascii="Times New Roman" w:hAnsi="Times New Roman" w:cs="Times New Roman"/>
                <w:sz w:val="20"/>
                <w:szCs w:val="20"/>
              </w:rPr>
              <w:t>Paper-based: 550</w:t>
            </w:r>
          </w:p>
          <w:p w14:paraId="027C13A8">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sz w:val="20"/>
                <w:szCs w:val="20"/>
              </w:rPr>
            </w:pPr>
            <w:r>
              <w:rPr>
                <w:rFonts w:ascii="Times New Roman" w:hAnsi="Times New Roman" w:cs="Times New Roman"/>
                <w:sz w:val="20"/>
                <w:szCs w:val="20"/>
              </w:rPr>
              <w:t>Computer-based: 213</w:t>
            </w:r>
          </w:p>
          <w:p w14:paraId="6D0AB6F2">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hint="eastAsia" w:ascii="Times New Roman" w:hAnsi="Times New Roman" w:cs="Times New Roman"/>
                <w:sz w:val="20"/>
                <w:szCs w:val="20"/>
              </w:rPr>
              <w:t>N</w:t>
            </w:r>
            <w:r>
              <w:rPr>
                <w:rFonts w:ascii="Times New Roman" w:hAnsi="Times New Roman" w:cs="Times New Roman"/>
                <w:sz w:val="20"/>
                <w:szCs w:val="20"/>
              </w:rPr>
              <w:t xml:space="preserve">ew </w:t>
            </w:r>
            <w:r>
              <w:rPr>
                <w:rFonts w:hint="eastAsia" w:ascii="Times New Roman" w:hAnsi="Times New Roman" w:cs="Times New Roman"/>
                <w:sz w:val="20"/>
                <w:szCs w:val="20"/>
              </w:rPr>
              <w:t>I</w:t>
            </w:r>
            <w:r>
              <w:rPr>
                <w:rFonts w:ascii="Times New Roman" w:hAnsi="Times New Roman" w:cs="Times New Roman"/>
                <w:sz w:val="20"/>
                <w:szCs w:val="20"/>
              </w:rPr>
              <w:t>nternet-based: 79-80</w:t>
            </w:r>
          </w:p>
        </w:tc>
        <w:tc>
          <w:tcPr>
            <w:tcW w:w="786" w:type="dxa"/>
            <w:vMerge w:val="restart"/>
            <w:tcBorders>
              <w:top w:val="nil"/>
              <w:left w:val="single" w:color="auto" w:sz="4" w:space="0"/>
              <w:bottom w:val="single" w:color="auto" w:sz="4" w:space="0"/>
              <w:right w:val="single" w:color="auto" w:sz="4" w:space="0"/>
            </w:tcBorders>
            <w:vAlign w:val="center"/>
          </w:tcPr>
          <w:p w14:paraId="4F19547B">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ascii="Times New Roman" w:hAnsi="Times New Roman" w:cs="Times New Roman"/>
                <w:sz w:val="20"/>
                <w:szCs w:val="20"/>
              </w:rPr>
              <w:t>6.0</w:t>
            </w:r>
          </w:p>
        </w:tc>
        <w:tc>
          <w:tcPr>
            <w:tcW w:w="842" w:type="dxa"/>
            <w:vMerge w:val="restart"/>
            <w:tcBorders>
              <w:top w:val="nil"/>
              <w:left w:val="single" w:color="auto" w:sz="4" w:space="0"/>
              <w:bottom w:val="single" w:color="auto" w:sz="4" w:space="0"/>
              <w:right w:val="single" w:color="auto" w:sz="4" w:space="0"/>
            </w:tcBorders>
            <w:vAlign w:val="center"/>
          </w:tcPr>
          <w:p w14:paraId="19CAD91D">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ascii="Times New Roman" w:hAnsi="Times New Roman" w:cs="Times New Roman"/>
                <w:sz w:val="20"/>
                <w:szCs w:val="20"/>
              </w:rPr>
              <w:t>750</w:t>
            </w:r>
          </w:p>
        </w:tc>
        <w:tc>
          <w:tcPr>
            <w:tcW w:w="1286" w:type="dxa"/>
            <w:vMerge w:val="restart"/>
            <w:tcBorders>
              <w:top w:val="single" w:color="auto" w:sz="4" w:space="0"/>
              <w:left w:val="single" w:color="auto" w:sz="4" w:space="0"/>
              <w:bottom w:val="single" w:color="auto" w:sz="4" w:space="0"/>
              <w:right w:val="single" w:color="auto" w:sz="4" w:space="0"/>
            </w:tcBorders>
            <w:vAlign w:val="center"/>
          </w:tcPr>
          <w:p w14:paraId="15F7ECA1">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rPr>
            </w:pPr>
            <w:r>
              <w:rPr>
                <w:rFonts w:ascii="Times New Roman" w:hAnsi="Times New Roman" w:cs="Times New Roman"/>
                <w:sz w:val="20"/>
                <w:szCs w:val="20"/>
              </w:rPr>
              <w:t>ALTE Level 3</w:t>
            </w:r>
          </w:p>
        </w:tc>
      </w:tr>
      <w:tr w14:paraId="742E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734" w:type="dxa"/>
            <w:vMerge w:val="continue"/>
            <w:tcBorders>
              <w:top w:val="nil"/>
              <w:left w:val="single" w:color="auto" w:sz="4" w:space="0"/>
              <w:bottom w:val="single" w:color="auto" w:sz="4" w:space="0"/>
              <w:right w:val="single" w:color="auto" w:sz="4" w:space="0"/>
            </w:tcBorders>
            <w:vAlign w:val="center"/>
          </w:tcPr>
          <w:p w14:paraId="4B728C48">
            <w:pPr>
              <w:keepNext w:val="0"/>
              <w:keepLines w:val="0"/>
              <w:pageBreakBefore w:val="0"/>
              <w:widowControl/>
              <w:kinsoku/>
              <w:wordWrap/>
              <w:overflowPunct/>
              <w:topLinePunct w:val="0"/>
              <w:bidi w:val="0"/>
              <w:adjustRightInd w:val="0"/>
              <w:snapToGrid w:val="0"/>
              <w:jc w:val="center"/>
              <w:textAlignment w:val="auto"/>
              <w:rPr>
                <w:rFonts w:eastAsia="標楷體"/>
                <w:color w:val="000000"/>
              </w:rPr>
            </w:pPr>
          </w:p>
        </w:tc>
        <w:tc>
          <w:tcPr>
            <w:tcW w:w="1707" w:type="dxa"/>
            <w:vMerge w:val="continue"/>
            <w:tcBorders>
              <w:top w:val="nil"/>
              <w:left w:val="single" w:color="auto" w:sz="4" w:space="0"/>
              <w:bottom w:val="single" w:color="auto" w:sz="4" w:space="0"/>
              <w:right w:val="single" w:color="auto" w:sz="4" w:space="0"/>
            </w:tcBorders>
            <w:vAlign w:val="center"/>
          </w:tcPr>
          <w:p w14:paraId="047C8817">
            <w:pPr>
              <w:keepNext w:val="0"/>
              <w:keepLines w:val="0"/>
              <w:pageBreakBefore w:val="0"/>
              <w:widowControl/>
              <w:kinsoku/>
              <w:wordWrap/>
              <w:overflowPunct/>
              <w:topLinePunct w:val="0"/>
              <w:bidi w:val="0"/>
              <w:adjustRightInd w:val="0"/>
              <w:snapToGrid w:val="0"/>
              <w:jc w:val="center"/>
              <w:textAlignment w:val="auto"/>
              <w:rPr>
                <w:rFonts w:eastAsia="標楷體"/>
                <w:color w:val="000000"/>
              </w:rPr>
            </w:pPr>
          </w:p>
        </w:tc>
        <w:tc>
          <w:tcPr>
            <w:tcW w:w="1407" w:type="dxa"/>
            <w:tcBorders>
              <w:top w:val="single" w:color="auto" w:sz="4" w:space="0"/>
              <w:left w:val="single" w:color="auto" w:sz="4" w:space="0"/>
              <w:bottom w:val="single" w:color="auto" w:sz="4" w:space="0"/>
              <w:right w:val="single" w:color="auto" w:sz="4" w:space="0"/>
            </w:tcBorders>
            <w:vAlign w:val="center"/>
          </w:tcPr>
          <w:p w14:paraId="387D9D58">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sz w:val="20"/>
                <w:szCs w:val="20"/>
              </w:rPr>
            </w:pPr>
            <w:r>
              <w:rPr>
                <w:rFonts w:ascii="Times New Roman" w:hAnsi="Times New Roman" w:cs="Times New Roman"/>
                <w:sz w:val="20"/>
                <w:szCs w:val="20"/>
              </w:rPr>
              <w:t>195</w:t>
            </w:r>
          </w:p>
        </w:tc>
        <w:tc>
          <w:tcPr>
            <w:tcW w:w="1036" w:type="dxa"/>
            <w:tcBorders>
              <w:top w:val="single" w:color="auto" w:sz="4" w:space="0"/>
              <w:left w:val="single" w:color="auto" w:sz="4" w:space="0"/>
              <w:bottom w:val="single" w:color="auto" w:sz="4" w:space="0"/>
              <w:right w:val="single" w:color="auto" w:sz="4" w:space="0"/>
            </w:tcBorders>
            <w:vAlign w:val="center"/>
          </w:tcPr>
          <w:p w14:paraId="4609FB48">
            <w:pPr>
              <w:pStyle w:val="7"/>
              <w:keepNext w:val="0"/>
              <w:keepLines w:val="0"/>
              <w:pageBreakBefore w:val="0"/>
              <w:kinsoku/>
              <w:wordWrap/>
              <w:overflowPunct/>
              <w:topLinePunct w:val="0"/>
              <w:bidi w:val="0"/>
              <w:adjustRightInd w:val="0"/>
              <w:snapToGrid w:val="0"/>
              <w:jc w:val="center"/>
              <w:textAlignment w:val="auto"/>
              <w:rPr>
                <w:rFonts w:ascii="Times New Roman" w:hAnsi="Times New Roman" w:cs="Times New Roman"/>
                <w:sz w:val="20"/>
                <w:szCs w:val="20"/>
              </w:rPr>
            </w:pPr>
            <w:r>
              <w:rPr>
                <w:rFonts w:hint="eastAsia" w:ascii="Times New Roman" w:hAnsi="Times New Roman" w:cs="Times New Roman"/>
                <w:sz w:val="20"/>
                <w:szCs w:val="20"/>
              </w:rPr>
              <w:t>S-</w:t>
            </w:r>
            <w:r>
              <w:rPr>
                <w:rFonts w:ascii="Times New Roman" w:hAnsi="Times New Roman" w:cs="Times New Roman"/>
                <w:sz w:val="20"/>
                <w:szCs w:val="20"/>
              </w:rPr>
              <w:t>2</w:t>
            </w:r>
          </w:p>
        </w:tc>
        <w:tc>
          <w:tcPr>
            <w:tcW w:w="864" w:type="dxa"/>
            <w:vMerge w:val="continue"/>
            <w:tcBorders>
              <w:top w:val="nil"/>
              <w:left w:val="single" w:color="auto" w:sz="4" w:space="0"/>
              <w:bottom w:val="single" w:color="auto" w:sz="4" w:space="0"/>
              <w:right w:val="single" w:color="auto" w:sz="4" w:space="0"/>
            </w:tcBorders>
            <w:vAlign w:val="center"/>
          </w:tcPr>
          <w:p w14:paraId="07F9C97C">
            <w:pPr>
              <w:keepNext w:val="0"/>
              <w:keepLines w:val="0"/>
              <w:pageBreakBefore w:val="0"/>
              <w:widowControl/>
              <w:kinsoku/>
              <w:wordWrap/>
              <w:overflowPunct/>
              <w:topLinePunct w:val="0"/>
              <w:bidi w:val="0"/>
              <w:adjustRightInd w:val="0"/>
              <w:snapToGrid w:val="0"/>
              <w:textAlignment w:val="auto"/>
              <w:rPr>
                <w:rFonts w:eastAsia="標楷體"/>
                <w:color w:val="000000"/>
                <w:sz w:val="24"/>
                <w:szCs w:val="24"/>
              </w:rPr>
            </w:pPr>
          </w:p>
        </w:tc>
        <w:tc>
          <w:tcPr>
            <w:tcW w:w="1622" w:type="dxa"/>
            <w:vMerge w:val="continue"/>
            <w:tcBorders>
              <w:top w:val="nil"/>
              <w:left w:val="single" w:color="auto" w:sz="4" w:space="0"/>
              <w:bottom w:val="single" w:color="auto" w:sz="4" w:space="0"/>
              <w:right w:val="single" w:color="auto" w:sz="4" w:space="0"/>
            </w:tcBorders>
            <w:vAlign w:val="center"/>
          </w:tcPr>
          <w:p w14:paraId="14B342BC">
            <w:pPr>
              <w:keepNext w:val="0"/>
              <w:keepLines w:val="0"/>
              <w:pageBreakBefore w:val="0"/>
              <w:widowControl/>
              <w:kinsoku/>
              <w:wordWrap/>
              <w:overflowPunct/>
              <w:topLinePunct w:val="0"/>
              <w:bidi w:val="0"/>
              <w:adjustRightInd w:val="0"/>
              <w:snapToGrid w:val="0"/>
              <w:textAlignment w:val="auto"/>
              <w:rPr>
                <w:rFonts w:eastAsia="標楷體"/>
                <w:color w:val="000000"/>
                <w:sz w:val="24"/>
                <w:szCs w:val="24"/>
              </w:rPr>
            </w:pPr>
          </w:p>
        </w:tc>
        <w:tc>
          <w:tcPr>
            <w:tcW w:w="786" w:type="dxa"/>
            <w:vMerge w:val="continue"/>
            <w:tcBorders>
              <w:top w:val="nil"/>
              <w:left w:val="single" w:color="auto" w:sz="4" w:space="0"/>
              <w:bottom w:val="single" w:color="auto" w:sz="4" w:space="0"/>
              <w:right w:val="single" w:color="auto" w:sz="4" w:space="0"/>
            </w:tcBorders>
            <w:vAlign w:val="center"/>
          </w:tcPr>
          <w:p w14:paraId="3C13F1FA">
            <w:pPr>
              <w:keepNext w:val="0"/>
              <w:keepLines w:val="0"/>
              <w:pageBreakBefore w:val="0"/>
              <w:widowControl/>
              <w:kinsoku/>
              <w:wordWrap/>
              <w:overflowPunct/>
              <w:topLinePunct w:val="0"/>
              <w:bidi w:val="0"/>
              <w:adjustRightInd w:val="0"/>
              <w:snapToGrid w:val="0"/>
              <w:textAlignment w:val="auto"/>
              <w:rPr>
                <w:rFonts w:eastAsia="標楷體"/>
                <w:color w:val="000000"/>
                <w:sz w:val="24"/>
                <w:szCs w:val="24"/>
              </w:rPr>
            </w:pPr>
          </w:p>
        </w:tc>
        <w:tc>
          <w:tcPr>
            <w:tcW w:w="842" w:type="dxa"/>
            <w:vMerge w:val="continue"/>
            <w:tcBorders>
              <w:top w:val="nil"/>
              <w:left w:val="single" w:color="auto" w:sz="4" w:space="0"/>
              <w:bottom w:val="single" w:color="auto" w:sz="4" w:space="0"/>
              <w:right w:val="single" w:color="auto" w:sz="4" w:space="0"/>
            </w:tcBorders>
            <w:vAlign w:val="center"/>
          </w:tcPr>
          <w:p w14:paraId="6436C8D4">
            <w:pPr>
              <w:keepNext w:val="0"/>
              <w:keepLines w:val="0"/>
              <w:pageBreakBefore w:val="0"/>
              <w:widowControl/>
              <w:kinsoku/>
              <w:wordWrap/>
              <w:overflowPunct/>
              <w:topLinePunct w:val="0"/>
              <w:bidi w:val="0"/>
              <w:adjustRightInd w:val="0"/>
              <w:snapToGrid w:val="0"/>
              <w:textAlignment w:val="auto"/>
              <w:rPr>
                <w:rFonts w:eastAsia="標楷體"/>
                <w:color w:val="000000"/>
                <w:sz w:val="24"/>
                <w:szCs w:val="24"/>
              </w:rPr>
            </w:pPr>
          </w:p>
        </w:tc>
        <w:tc>
          <w:tcPr>
            <w:tcW w:w="1286" w:type="dxa"/>
            <w:vMerge w:val="continue"/>
            <w:tcBorders>
              <w:top w:val="single" w:color="auto" w:sz="4" w:space="0"/>
              <w:left w:val="single" w:color="auto" w:sz="4" w:space="0"/>
              <w:bottom w:val="single" w:color="auto" w:sz="4" w:space="0"/>
              <w:right w:val="single" w:color="auto" w:sz="4" w:space="0"/>
            </w:tcBorders>
            <w:vAlign w:val="center"/>
          </w:tcPr>
          <w:p w14:paraId="24C35205">
            <w:pPr>
              <w:keepNext w:val="0"/>
              <w:keepLines w:val="0"/>
              <w:pageBreakBefore w:val="0"/>
              <w:widowControl/>
              <w:kinsoku/>
              <w:wordWrap/>
              <w:overflowPunct/>
              <w:topLinePunct w:val="0"/>
              <w:bidi w:val="0"/>
              <w:adjustRightInd w:val="0"/>
              <w:snapToGrid w:val="0"/>
              <w:textAlignment w:val="auto"/>
              <w:rPr>
                <w:rFonts w:eastAsia="標楷體"/>
                <w:color w:val="000000"/>
                <w:sz w:val="24"/>
                <w:szCs w:val="24"/>
              </w:rPr>
            </w:pPr>
          </w:p>
        </w:tc>
      </w:tr>
    </w:tbl>
    <w:p w14:paraId="31D77F88">
      <w:pPr>
        <w:pStyle w:val="9"/>
        <w:ind w:left="960" w:leftChars="0" w:firstLine="480" w:firstLineChars="0"/>
        <w:rPr>
          <w:rFonts w:ascii="Times New Roman" w:hAnsi="Times New Roman" w:cs="Times New Roman"/>
          <w:highlight w:val="none"/>
        </w:rPr>
      </w:pPr>
      <w:r>
        <w:rPr>
          <w:rFonts w:ascii="Times New Roman" w:hAnsi="Times New Roman" w:cs="Times New Roman"/>
        </w:rPr>
        <w:t xml:space="preserve">Students who score between 730 and 750 on the TOEIC test may meet the English graduation </w:t>
      </w:r>
      <w:r>
        <w:rPr>
          <w:rFonts w:hint="eastAsia" w:ascii="Times New Roman" w:hAnsi="Times New Roman" w:cs="Times New Roman"/>
          <w:lang w:val="en-US" w:eastAsia="zh-TW"/>
        </w:rPr>
        <w:tab/>
      </w:r>
      <w:r>
        <w:rPr>
          <w:rFonts w:ascii="Times New Roman" w:hAnsi="Times New Roman" w:cs="Times New Roman"/>
        </w:rPr>
        <w:t xml:space="preserve">requirement by presenting a paper in English at an international academic conference listed in </w:t>
      </w:r>
      <w:r>
        <w:rPr>
          <w:rFonts w:hint="eastAsia" w:ascii="Times New Roman" w:hAnsi="Times New Roman" w:cs="Times New Roman"/>
          <w:lang w:val="en-US" w:eastAsia="zh-TW"/>
        </w:rPr>
        <w:tab/>
      </w:r>
      <w:r>
        <w:rPr>
          <w:rFonts w:ascii="Times New Roman" w:hAnsi="Times New Roman" w:cs="Times New Roman"/>
        </w:rPr>
        <w:t xml:space="preserve">the Ministry of Science and Technology's Division of Humanities Management's second </w:t>
      </w:r>
      <w:r>
        <w:rPr>
          <w:rFonts w:hint="eastAsia" w:ascii="Times New Roman" w:hAnsi="Times New Roman" w:cs="Times New Roman"/>
          <w:lang w:val="en-US" w:eastAsia="zh-TW"/>
        </w:rPr>
        <w:tab/>
      </w:r>
      <w:r>
        <w:rPr>
          <w:rFonts w:ascii="Times New Roman" w:hAnsi="Times New Roman" w:cs="Times New Roman"/>
        </w:rPr>
        <w:t>academic field reference list</w:t>
      </w:r>
      <w:r>
        <w:rPr>
          <w:rFonts w:ascii="Times New Roman" w:hAnsi="Times New Roman" w:cs="Times New Roman"/>
          <w:highlight w:val="none"/>
        </w:rPr>
        <w:t xml:space="preserve">, or at an international academic conference with full paper </w:t>
      </w:r>
      <w:r>
        <w:rPr>
          <w:rFonts w:hint="eastAsia" w:ascii="Times New Roman" w:hAnsi="Times New Roman" w:cs="Times New Roman"/>
          <w:highlight w:val="none"/>
          <w:lang w:val="en-US" w:eastAsia="zh-TW"/>
        </w:rPr>
        <w:tab/>
      </w:r>
      <w:r>
        <w:rPr>
          <w:rFonts w:ascii="Times New Roman" w:hAnsi="Times New Roman" w:cs="Times New Roman"/>
          <w:highlight w:val="none"/>
        </w:rPr>
        <w:t>review and an acceptance rate of 30% or lower, before the degree examination.</w:t>
      </w:r>
    </w:p>
    <w:p w14:paraId="5EB3E6A6">
      <w:pPr>
        <w:pStyle w:val="9"/>
        <w:ind w:left="960" w:leftChars="0" w:firstLine="480" w:firstLineChars="0"/>
        <w:rPr>
          <w:rFonts w:hint="eastAsia" w:ascii="Times New Roman" w:hAnsi="Times New Roman" w:cs="Times New Roman"/>
        </w:rPr>
      </w:pPr>
      <w:r>
        <w:rPr>
          <w:rFonts w:ascii="Times New Roman" w:hAnsi="Times New Roman" w:cs="Times New Roman"/>
        </w:rPr>
        <w:t xml:space="preserve">Students re-enrolling in the department's doctoral program, either in the 'Information Systems </w:t>
      </w:r>
      <w:r>
        <w:rPr>
          <w:rFonts w:hint="eastAsia" w:ascii="Times New Roman" w:hAnsi="Times New Roman" w:cs="Times New Roman"/>
          <w:lang w:val="en-US" w:eastAsia="zh-TW"/>
        </w:rPr>
        <w:tab/>
      </w:r>
      <w:r>
        <w:rPr>
          <w:rFonts w:hint="eastAsia" w:ascii="Times New Roman" w:hAnsi="Times New Roman" w:cs="Times New Roman"/>
        </w:rPr>
        <w:t>Group</w:t>
      </w:r>
      <w:r>
        <w:rPr>
          <w:rFonts w:ascii="Times New Roman" w:hAnsi="Times New Roman" w:cs="Times New Roman"/>
        </w:rPr>
        <w:t xml:space="preserve">' or 'Management </w:t>
      </w:r>
      <w:r>
        <w:rPr>
          <w:rFonts w:hint="eastAsia" w:ascii="Times New Roman" w:hAnsi="Times New Roman" w:cs="Times New Roman"/>
        </w:rPr>
        <w:t>Group</w:t>
      </w:r>
      <w:r>
        <w:rPr>
          <w:rFonts w:ascii="Times New Roman" w:hAnsi="Times New Roman" w:cs="Times New Roman"/>
        </w:rPr>
        <w:t xml:space="preserve">,' are not required to redo previously satisfied requirements </w:t>
      </w:r>
      <w:r>
        <w:rPr>
          <w:rFonts w:hint="eastAsia" w:ascii="Times New Roman" w:hAnsi="Times New Roman" w:cs="Times New Roman"/>
          <w:lang w:val="en-US" w:eastAsia="zh-TW"/>
        </w:rPr>
        <w:tab/>
      </w:r>
      <w:r>
        <w:rPr>
          <w:rFonts w:ascii="Times New Roman" w:hAnsi="Times New Roman" w:cs="Times New Roman"/>
        </w:rPr>
        <w:t xml:space="preserve">(such as qualifying exams or course work), provided these requirements have not changed </w:t>
      </w:r>
      <w:r>
        <w:rPr>
          <w:rFonts w:hint="eastAsia" w:ascii="Times New Roman" w:hAnsi="Times New Roman" w:cs="Times New Roman"/>
          <w:lang w:val="en-US" w:eastAsia="zh-TW"/>
        </w:rPr>
        <w:tab/>
      </w:r>
      <w:r>
        <w:rPr>
          <w:rFonts w:ascii="Times New Roman" w:hAnsi="Times New Roman" w:cs="Times New Roman"/>
        </w:rPr>
        <w:t xml:space="preserve">and are in accordance with the Ministry of Education's and the university's graduate credit </w:t>
      </w:r>
      <w:r>
        <w:rPr>
          <w:rFonts w:hint="eastAsia" w:ascii="Times New Roman" w:hAnsi="Times New Roman" w:cs="Times New Roman"/>
          <w:lang w:val="en-US" w:eastAsia="zh-TW"/>
        </w:rPr>
        <w:tab/>
      </w:r>
      <w:r>
        <w:rPr>
          <w:rFonts w:ascii="Times New Roman" w:hAnsi="Times New Roman" w:cs="Times New Roman"/>
        </w:rPr>
        <w:t>transfer regulations, and upon approval by the curriculum committee.</w:t>
      </w:r>
      <w:r>
        <w:rPr>
          <w:rFonts w:hint="eastAsia" w:ascii="Times New Roman" w:hAnsi="Times New Roman" w:cs="Times New Roman"/>
        </w:rPr>
        <w:t xml:space="preserve"> </w:t>
      </w:r>
    </w:p>
    <w:p w14:paraId="36A461D8">
      <w:pPr>
        <w:pStyle w:val="9"/>
        <w:rPr>
          <w:rFonts w:ascii="Times New Roman" w:hAnsi="Times New Roman" w:cs="Times New Roman"/>
        </w:rPr>
      </w:pPr>
      <w:r>
        <w:rPr>
          <w:rFonts w:ascii="Times New Roman" w:hAnsi="Times New Roman" w:cs="Times New Roman"/>
          <w:b/>
          <w:bCs/>
        </w:rPr>
        <w:t>Article 10:</w:t>
      </w:r>
      <w:r>
        <w:rPr>
          <w:rFonts w:hint="eastAsia" w:ascii="Times New Roman" w:hAnsi="Times New Roman" w:cs="Times New Roman"/>
          <w:b/>
          <w:bCs/>
          <w:lang w:val="en-US" w:eastAsia="zh-TW"/>
        </w:rPr>
        <w:tab/>
      </w:r>
      <w:r>
        <w:rPr>
          <w:rFonts w:ascii="Times New Roman" w:hAnsi="Times New Roman" w:cs="Times New Roman"/>
        </w:rPr>
        <w:t xml:space="preserve">Any matters not covered in these regulations shall be handled in accordance with the relevant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regulations of the Ministry of Education and the university.</w:t>
      </w:r>
    </w:p>
    <w:p w14:paraId="1A5D8D82">
      <w:pPr>
        <w:pStyle w:val="9"/>
        <w:rPr>
          <w:rFonts w:hint="eastAsia" w:eastAsia="新細明體"/>
          <w:lang w:val="en-US" w:eastAsia="zh-TW"/>
        </w:rPr>
      </w:pPr>
      <w:r>
        <w:rPr>
          <w:rFonts w:ascii="Times New Roman" w:hAnsi="Times New Roman" w:cs="Times New Roman"/>
          <w:b/>
          <w:bCs/>
        </w:rPr>
        <w:t>Article 11:</w:t>
      </w:r>
      <w:r>
        <w:rPr>
          <w:rFonts w:hint="eastAsia" w:ascii="Times New Roman" w:hAnsi="Times New Roman" w:cs="Times New Roman"/>
          <w:b/>
          <w:bCs/>
          <w:lang w:val="en-US" w:eastAsia="zh-TW"/>
        </w:rPr>
        <w:tab/>
      </w:r>
      <w:r>
        <w:rPr>
          <w:rFonts w:ascii="Times New Roman" w:hAnsi="Times New Roman" w:cs="Times New Roman"/>
        </w:rPr>
        <w:t xml:space="preserve">These regulations shall be implemented after approval by the Departmental Affairs Meeting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 xml:space="preserve">and the College Curriculum Committee, and subsequent filing with the Academic Affairs </w:t>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hint="eastAsia" w:ascii="Times New Roman" w:hAnsi="Times New Roman" w:cs="Times New Roman"/>
          <w:lang w:val="en-US" w:eastAsia="zh-TW"/>
        </w:rPr>
        <w:tab/>
      </w:r>
      <w:r>
        <w:rPr>
          <w:rFonts w:ascii="Times New Roman" w:hAnsi="Times New Roman" w:cs="Times New Roman"/>
        </w:rPr>
        <w:t>Meeting. The same procedure applies to any amendments.</w:t>
      </w:r>
      <w:r>
        <w:rPr>
          <w:rFonts w:hint="eastAsia" w:ascii="Times New Roman" w:hAnsi="Times New Roman" w:cs="Times New Roman"/>
          <w:lang w:val="en-US" w:eastAsia="zh-TW"/>
        </w:rPr>
        <w:t xml:space="preserve"> </w:t>
      </w:r>
    </w:p>
    <w:sectPr>
      <w:footerReference r:id="rId3" w:type="default"/>
      <w:pgSz w:w="11906" w:h="16838"/>
      <w:pgMar w:top="720" w:right="720" w:bottom="720" w:left="720" w:header="851" w:footer="992" w:gutter="0"/>
      <w:cols w:space="425"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細明體">
    <w:panose1 w:val="02020500000000000000"/>
    <w:charset w:val="88"/>
    <w:family w:val="roman"/>
    <w:pitch w:val="default"/>
    <w:sig w:usb0="A00002FF" w:usb1="28CFFCFA" w:usb2="00000016" w:usb3="00000000" w:csb0="00100001" w:csb1="00000000"/>
  </w:font>
  <w:font w:name="標楷體">
    <w:panose1 w:val="03000509000000000000"/>
    <w:charset w:val="88"/>
    <w:family w:val="script"/>
    <w:pitch w:val="default"/>
    <w:sig w:usb0="00000003" w:usb1="082E0000" w:usb2="00000016" w:usb3="00000000" w:csb0="00100001" w:csb1="00000000"/>
  </w:font>
  <w:font w:name="Segoe UI Variable Text Semibold">
    <w:panose1 w:val="00000000000000000000"/>
    <w:charset w:val="00"/>
    <w:family w:val="auto"/>
    <w:pitch w:val="default"/>
    <w:sig w:usb0="A00002FF" w:usb1="0000000B" w:usb2="00000000" w:usb3="00000000" w:csb0="2000019F" w:csb1="00000000"/>
  </w:font>
  <w:font w:name="Sitka Banner">
    <w:panose1 w:val="00000000000000000000"/>
    <w:charset w:val="00"/>
    <w:family w:val="auto"/>
    <w:pitch w:val="default"/>
    <w:sig w:usb0="A00002EF" w:usb1="4000204B" w:usb2="00000000" w:usb3="00000000" w:csb0="2000019F" w:csb1="00000000"/>
  </w:font>
  <w:font w:name="STCaiyun">
    <w:panose1 w:val="02010800040101010101"/>
    <w:charset w:val="86"/>
    <w:family w:val="auto"/>
    <w:pitch w:val="default"/>
    <w:sig w:usb0="00000001" w:usb1="080F0000" w:usb2="00000000" w:usb3="00000000" w:csb0="00040000" w:csb1="00000000"/>
  </w:font>
  <w:font w:name="STXihei">
    <w:panose1 w:val="02010600040101010101"/>
    <w:charset w:val="86"/>
    <w:family w:val="auto"/>
    <w:pitch w:val="default"/>
    <w:sig w:usb0="00000287" w:usb1="080F0000" w:usb2="00000000" w:usb3="00000000" w:csb0="0004009F" w:csb1="DFD70000"/>
  </w:font>
  <w:font w:name="Vivaldi">
    <w:panose1 w:val="03020602050506090804"/>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2FA6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FA3A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14:paraId="031FA3A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54D56"/>
    <w:multiLevelType w:val="multilevel"/>
    <w:tmpl w:val="07B54D56"/>
    <w:lvl w:ilvl="0" w:tentative="0">
      <w:start w:val="1"/>
      <w:numFmt w:val="lowerLetter"/>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CAE201F"/>
    <w:multiLevelType w:val="multilevel"/>
    <w:tmpl w:val="0CAE201F"/>
    <w:lvl w:ilvl="0" w:tentative="0">
      <w:start w:val="1"/>
      <w:numFmt w:val="lowerRoman"/>
      <w:lvlText w:val="%1."/>
      <w:lvlJc w:val="left"/>
      <w:pPr>
        <w:tabs>
          <w:tab w:val="left" w:pos="2105"/>
        </w:tabs>
        <w:ind w:left="2105" w:hanging="425"/>
      </w:pPr>
      <w:rPr>
        <w:rFonts w:hint="default" w:ascii="Times New Roman" w:hAnsi="Times New Roman" w:cs="Times New Roman"/>
      </w:rPr>
    </w:lvl>
    <w:lvl w:ilvl="1" w:tentative="0">
      <w:start w:val="1"/>
      <w:numFmt w:val="decimal"/>
      <w:lvlText w:val="%2."/>
      <w:lvlJc w:val="left"/>
      <w:pPr>
        <w:tabs>
          <w:tab w:val="left" w:pos="1860"/>
        </w:tabs>
        <w:ind w:left="1860" w:hanging="360"/>
      </w:pPr>
    </w:lvl>
    <w:lvl w:ilvl="2" w:tentative="0">
      <w:start w:val="1"/>
      <w:numFmt w:val="decimal"/>
      <w:lvlText w:val="%3."/>
      <w:lvlJc w:val="left"/>
      <w:pPr>
        <w:tabs>
          <w:tab w:val="left" w:pos="2580"/>
        </w:tabs>
        <w:ind w:left="2580" w:hanging="360"/>
      </w:pPr>
    </w:lvl>
    <w:lvl w:ilvl="3" w:tentative="0">
      <w:start w:val="1"/>
      <w:numFmt w:val="decimal"/>
      <w:lvlText w:val="%4."/>
      <w:lvlJc w:val="left"/>
      <w:pPr>
        <w:tabs>
          <w:tab w:val="left" w:pos="3300"/>
        </w:tabs>
        <w:ind w:left="3300" w:hanging="360"/>
      </w:pPr>
    </w:lvl>
    <w:lvl w:ilvl="4" w:tentative="0">
      <w:start w:val="1"/>
      <w:numFmt w:val="decimal"/>
      <w:lvlText w:val="%5."/>
      <w:lvlJc w:val="left"/>
      <w:pPr>
        <w:tabs>
          <w:tab w:val="left" w:pos="4020"/>
        </w:tabs>
        <w:ind w:left="4020" w:hanging="360"/>
      </w:pPr>
    </w:lvl>
    <w:lvl w:ilvl="5" w:tentative="0">
      <w:start w:val="1"/>
      <w:numFmt w:val="decimal"/>
      <w:lvlText w:val="%6."/>
      <w:lvlJc w:val="left"/>
      <w:pPr>
        <w:tabs>
          <w:tab w:val="left" w:pos="4740"/>
        </w:tabs>
        <w:ind w:left="4740" w:hanging="360"/>
      </w:pPr>
    </w:lvl>
    <w:lvl w:ilvl="6" w:tentative="0">
      <w:start w:val="1"/>
      <w:numFmt w:val="decimal"/>
      <w:lvlText w:val="%7."/>
      <w:lvlJc w:val="left"/>
      <w:pPr>
        <w:tabs>
          <w:tab w:val="left" w:pos="5460"/>
        </w:tabs>
        <w:ind w:left="5460" w:hanging="360"/>
      </w:pPr>
    </w:lvl>
    <w:lvl w:ilvl="7" w:tentative="0">
      <w:start w:val="1"/>
      <w:numFmt w:val="decimal"/>
      <w:lvlText w:val="%8."/>
      <w:lvlJc w:val="left"/>
      <w:pPr>
        <w:tabs>
          <w:tab w:val="left" w:pos="6180"/>
        </w:tabs>
        <w:ind w:left="6180" w:hanging="360"/>
      </w:pPr>
    </w:lvl>
    <w:lvl w:ilvl="8" w:tentative="0">
      <w:start w:val="1"/>
      <w:numFmt w:val="decimal"/>
      <w:lvlText w:val="%9."/>
      <w:lvlJc w:val="left"/>
      <w:pPr>
        <w:tabs>
          <w:tab w:val="left" w:pos="6900"/>
        </w:tabs>
        <w:ind w:left="6900" w:hanging="360"/>
      </w:pPr>
    </w:lvl>
  </w:abstractNum>
  <w:abstractNum w:abstractNumId="2">
    <w:nsid w:val="127C4A18"/>
    <w:multiLevelType w:val="multilevel"/>
    <w:tmpl w:val="127C4A18"/>
    <w:lvl w:ilvl="0" w:tentative="0">
      <w:start w:val="1"/>
      <w:numFmt w:val="upperLetter"/>
      <w:suff w:val="space"/>
      <w:lvlText w:val="%1."/>
      <w:lvlJc w:val="left"/>
      <w:pPr>
        <w:ind w:left="1680" w:firstLine="0"/>
      </w:pPr>
      <w:rPr>
        <w:rFonts w:hint="default" w:ascii="Times New Roman" w:hAnsi="Times New Roman" w:cs="Times New Roman"/>
      </w:rPr>
    </w:lvl>
    <w:lvl w:ilvl="1" w:tentative="0">
      <w:start w:val="1"/>
      <w:numFmt w:val="decimal"/>
      <w:lvlText w:val="%2."/>
      <w:lvlJc w:val="left"/>
      <w:pPr>
        <w:tabs>
          <w:tab w:val="left" w:pos="2700"/>
        </w:tabs>
        <w:ind w:left="2700" w:hanging="360"/>
      </w:pPr>
    </w:lvl>
    <w:lvl w:ilvl="2" w:tentative="0">
      <w:start w:val="1"/>
      <w:numFmt w:val="decimal"/>
      <w:lvlText w:val="%3."/>
      <w:lvlJc w:val="left"/>
      <w:pPr>
        <w:tabs>
          <w:tab w:val="left" w:pos="3420"/>
        </w:tabs>
        <w:ind w:left="3420" w:hanging="360"/>
      </w:pPr>
    </w:lvl>
    <w:lvl w:ilvl="3" w:tentative="0">
      <w:start w:val="1"/>
      <w:numFmt w:val="decimal"/>
      <w:lvlText w:val="%4."/>
      <w:lvlJc w:val="left"/>
      <w:pPr>
        <w:tabs>
          <w:tab w:val="left" w:pos="4140"/>
        </w:tabs>
        <w:ind w:left="4140" w:hanging="360"/>
      </w:pPr>
    </w:lvl>
    <w:lvl w:ilvl="4" w:tentative="0">
      <w:start w:val="1"/>
      <w:numFmt w:val="decimal"/>
      <w:lvlText w:val="%5."/>
      <w:lvlJc w:val="left"/>
      <w:pPr>
        <w:tabs>
          <w:tab w:val="left" w:pos="4860"/>
        </w:tabs>
        <w:ind w:left="4860" w:hanging="360"/>
      </w:pPr>
    </w:lvl>
    <w:lvl w:ilvl="5" w:tentative="0">
      <w:start w:val="1"/>
      <w:numFmt w:val="decimal"/>
      <w:lvlText w:val="%6."/>
      <w:lvlJc w:val="left"/>
      <w:pPr>
        <w:tabs>
          <w:tab w:val="left" w:pos="5580"/>
        </w:tabs>
        <w:ind w:left="5580" w:hanging="360"/>
      </w:pPr>
    </w:lvl>
    <w:lvl w:ilvl="6" w:tentative="0">
      <w:start w:val="1"/>
      <w:numFmt w:val="decimal"/>
      <w:lvlText w:val="%7."/>
      <w:lvlJc w:val="left"/>
      <w:pPr>
        <w:tabs>
          <w:tab w:val="left" w:pos="6300"/>
        </w:tabs>
        <w:ind w:left="6300" w:hanging="360"/>
      </w:pPr>
    </w:lvl>
    <w:lvl w:ilvl="7" w:tentative="0">
      <w:start w:val="1"/>
      <w:numFmt w:val="decimal"/>
      <w:lvlText w:val="%8."/>
      <w:lvlJc w:val="left"/>
      <w:pPr>
        <w:tabs>
          <w:tab w:val="left" w:pos="7020"/>
        </w:tabs>
        <w:ind w:left="7020" w:hanging="360"/>
      </w:pPr>
    </w:lvl>
    <w:lvl w:ilvl="8" w:tentative="0">
      <w:start w:val="1"/>
      <w:numFmt w:val="decimal"/>
      <w:lvlText w:val="%9."/>
      <w:lvlJc w:val="left"/>
      <w:pPr>
        <w:tabs>
          <w:tab w:val="left" w:pos="7740"/>
        </w:tabs>
        <w:ind w:left="7740" w:hanging="360"/>
      </w:pPr>
    </w:lvl>
  </w:abstractNum>
  <w:abstractNum w:abstractNumId="3">
    <w:nsid w:val="191A2916"/>
    <w:multiLevelType w:val="multilevel"/>
    <w:tmpl w:val="191A2916"/>
    <w:lvl w:ilvl="0" w:tentative="0">
      <w:start w:val="1"/>
      <w:numFmt w:val="decimal"/>
      <w:lvlText w:val="%1."/>
      <w:lvlJc w:val="left"/>
      <w:pPr>
        <w:tabs>
          <w:tab w:val="left" w:pos="1560"/>
        </w:tabs>
        <w:ind w:left="1560" w:hanging="360"/>
      </w:pPr>
      <w:rPr>
        <w:rFonts w:hint="default" w:ascii="Times New Roman" w:hAnsi="Times New Roman" w:cs="Times New Roman"/>
        <w:sz w:val="24"/>
        <w:szCs w:val="24"/>
      </w:rPr>
    </w:lvl>
    <w:lvl w:ilvl="1" w:tentative="0">
      <w:start w:val="1"/>
      <w:numFmt w:val="decimal"/>
      <w:lvlText w:val="%2."/>
      <w:lvlJc w:val="left"/>
      <w:pPr>
        <w:tabs>
          <w:tab w:val="left" w:pos="2280"/>
        </w:tabs>
        <w:ind w:left="2280" w:hanging="360"/>
      </w:pPr>
      <w:rPr>
        <w:rFonts w:hint="default" w:ascii="Times New Roman" w:hAnsi="Times New Roman" w:cs="Times New Roman"/>
        <w:sz w:val="24"/>
        <w:szCs w:val="24"/>
      </w:rPr>
    </w:lvl>
    <w:lvl w:ilvl="2" w:tentative="0">
      <w:start w:val="1"/>
      <w:numFmt w:val="decimal"/>
      <w:lvlText w:val="%3."/>
      <w:lvlJc w:val="left"/>
      <w:pPr>
        <w:tabs>
          <w:tab w:val="left" w:pos="3000"/>
        </w:tabs>
        <w:ind w:left="3000" w:hanging="360"/>
      </w:pPr>
      <w:rPr>
        <w:rFonts w:hint="default" w:ascii="Times New Roman" w:hAnsi="Times New Roman" w:cs="Times New Roman"/>
        <w:sz w:val="24"/>
        <w:szCs w:val="24"/>
      </w:rPr>
    </w:lvl>
    <w:lvl w:ilvl="3" w:tentative="0">
      <w:start w:val="1"/>
      <w:numFmt w:val="decimal"/>
      <w:lvlText w:val="%4."/>
      <w:lvlJc w:val="left"/>
      <w:pPr>
        <w:tabs>
          <w:tab w:val="left" w:pos="3357"/>
        </w:tabs>
        <w:ind w:left="3720" w:hanging="360"/>
      </w:pPr>
      <w:rPr>
        <w:rFonts w:hint="default" w:ascii="Times New Roman" w:hAnsi="Times New Roman" w:cs="Times New Roman"/>
        <w:sz w:val="24"/>
        <w:szCs w:val="24"/>
      </w:rPr>
    </w:lvl>
    <w:lvl w:ilvl="4" w:tentative="0">
      <w:start w:val="1"/>
      <w:numFmt w:val="decimal"/>
      <w:lvlText w:val="%5."/>
      <w:lvlJc w:val="left"/>
      <w:pPr>
        <w:tabs>
          <w:tab w:val="left" w:pos="4078"/>
        </w:tabs>
        <w:ind w:left="4440" w:hanging="360"/>
      </w:pPr>
      <w:rPr>
        <w:rFonts w:hint="default" w:ascii="Times New Roman" w:hAnsi="Times New Roman" w:cs="Times New Roman"/>
        <w:sz w:val="24"/>
        <w:szCs w:val="24"/>
      </w:rPr>
    </w:lvl>
    <w:lvl w:ilvl="5" w:tentative="0">
      <w:start w:val="1"/>
      <w:numFmt w:val="decimal"/>
      <w:lvlText w:val="%6."/>
      <w:lvlJc w:val="left"/>
      <w:pPr>
        <w:tabs>
          <w:tab w:val="left" w:pos="4798"/>
        </w:tabs>
        <w:ind w:left="5160" w:hanging="360"/>
      </w:pPr>
      <w:rPr>
        <w:rFonts w:hint="default" w:ascii="Times New Roman" w:hAnsi="Times New Roman" w:cs="Times New Roman"/>
        <w:sz w:val="24"/>
        <w:szCs w:val="24"/>
      </w:rPr>
    </w:lvl>
    <w:lvl w:ilvl="6" w:tentative="0">
      <w:start w:val="1"/>
      <w:numFmt w:val="decimal"/>
      <w:lvlText w:val="%7."/>
      <w:lvlJc w:val="left"/>
      <w:pPr>
        <w:tabs>
          <w:tab w:val="left" w:pos="5518"/>
        </w:tabs>
        <w:ind w:left="5880" w:hanging="360"/>
      </w:pPr>
      <w:rPr>
        <w:rFonts w:hint="default" w:ascii="Times New Roman" w:hAnsi="Times New Roman" w:cs="Times New Roman"/>
        <w:sz w:val="24"/>
        <w:szCs w:val="24"/>
      </w:rPr>
    </w:lvl>
    <w:lvl w:ilvl="7" w:tentative="0">
      <w:start w:val="1"/>
      <w:numFmt w:val="decimal"/>
      <w:lvlText w:val="%8."/>
      <w:lvlJc w:val="left"/>
      <w:pPr>
        <w:tabs>
          <w:tab w:val="left" w:pos="6238"/>
        </w:tabs>
        <w:ind w:left="6600" w:hanging="360"/>
      </w:pPr>
      <w:rPr>
        <w:rFonts w:hint="default" w:ascii="Times New Roman" w:hAnsi="Times New Roman" w:cs="Times New Roman"/>
        <w:sz w:val="24"/>
        <w:szCs w:val="24"/>
      </w:rPr>
    </w:lvl>
    <w:lvl w:ilvl="8" w:tentative="0">
      <w:start w:val="1"/>
      <w:numFmt w:val="decimal"/>
      <w:lvlText w:val="%9."/>
      <w:lvlJc w:val="left"/>
      <w:pPr>
        <w:tabs>
          <w:tab w:val="left" w:pos="6958"/>
        </w:tabs>
        <w:ind w:left="7320" w:hanging="360"/>
      </w:pPr>
      <w:rPr>
        <w:rFonts w:hint="default" w:ascii="Times New Roman" w:hAnsi="Times New Roman" w:cs="Times New Roman"/>
        <w:sz w:val="24"/>
        <w:szCs w:val="24"/>
      </w:rPr>
    </w:lvl>
  </w:abstractNum>
  <w:abstractNum w:abstractNumId="4">
    <w:nsid w:val="2BA100EA"/>
    <w:multiLevelType w:val="multilevel"/>
    <w:tmpl w:val="2BA100EA"/>
    <w:lvl w:ilvl="0" w:tentative="0">
      <w:start w:val="1"/>
      <w:numFmt w:val="lowerRoman"/>
      <w:lvlText w:val="%1."/>
      <w:lvlJc w:val="left"/>
      <w:pPr>
        <w:tabs>
          <w:tab w:val="left" w:pos="2105"/>
        </w:tabs>
        <w:ind w:left="2105" w:hanging="425"/>
      </w:pPr>
      <w:rPr>
        <w:rFonts w:hint="default" w:ascii="Times New Roman" w:hAnsi="Times New Roman" w:cs="Times New Roman"/>
      </w:rPr>
    </w:lvl>
    <w:lvl w:ilvl="1" w:tentative="0">
      <w:start w:val="1"/>
      <w:numFmt w:val="decimal"/>
      <w:lvlText w:val="%2."/>
      <w:lvlJc w:val="left"/>
      <w:pPr>
        <w:tabs>
          <w:tab w:val="left" w:pos="1860"/>
        </w:tabs>
        <w:ind w:left="1860" w:hanging="360"/>
      </w:pPr>
    </w:lvl>
    <w:lvl w:ilvl="2" w:tentative="0">
      <w:start w:val="1"/>
      <w:numFmt w:val="decimal"/>
      <w:lvlText w:val="%3."/>
      <w:lvlJc w:val="left"/>
      <w:pPr>
        <w:tabs>
          <w:tab w:val="left" w:pos="2580"/>
        </w:tabs>
        <w:ind w:left="2580" w:hanging="360"/>
      </w:pPr>
    </w:lvl>
    <w:lvl w:ilvl="3" w:tentative="0">
      <w:start w:val="1"/>
      <w:numFmt w:val="decimal"/>
      <w:lvlText w:val="%4."/>
      <w:lvlJc w:val="left"/>
      <w:pPr>
        <w:tabs>
          <w:tab w:val="left" w:pos="3300"/>
        </w:tabs>
        <w:ind w:left="3300" w:hanging="360"/>
      </w:pPr>
    </w:lvl>
    <w:lvl w:ilvl="4" w:tentative="0">
      <w:start w:val="1"/>
      <w:numFmt w:val="decimal"/>
      <w:lvlText w:val="%5."/>
      <w:lvlJc w:val="left"/>
      <w:pPr>
        <w:tabs>
          <w:tab w:val="left" w:pos="4020"/>
        </w:tabs>
        <w:ind w:left="4020" w:hanging="360"/>
      </w:pPr>
    </w:lvl>
    <w:lvl w:ilvl="5" w:tentative="0">
      <w:start w:val="1"/>
      <w:numFmt w:val="decimal"/>
      <w:lvlText w:val="%6."/>
      <w:lvlJc w:val="left"/>
      <w:pPr>
        <w:tabs>
          <w:tab w:val="left" w:pos="4740"/>
        </w:tabs>
        <w:ind w:left="4740" w:hanging="360"/>
      </w:pPr>
    </w:lvl>
    <w:lvl w:ilvl="6" w:tentative="0">
      <w:start w:val="1"/>
      <w:numFmt w:val="decimal"/>
      <w:lvlText w:val="%7."/>
      <w:lvlJc w:val="left"/>
      <w:pPr>
        <w:tabs>
          <w:tab w:val="left" w:pos="5460"/>
        </w:tabs>
        <w:ind w:left="5460" w:hanging="360"/>
      </w:pPr>
    </w:lvl>
    <w:lvl w:ilvl="7" w:tentative="0">
      <w:start w:val="1"/>
      <w:numFmt w:val="decimal"/>
      <w:lvlText w:val="%8."/>
      <w:lvlJc w:val="left"/>
      <w:pPr>
        <w:tabs>
          <w:tab w:val="left" w:pos="6180"/>
        </w:tabs>
        <w:ind w:left="6180" w:hanging="360"/>
      </w:pPr>
    </w:lvl>
    <w:lvl w:ilvl="8" w:tentative="0">
      <w:start w:val="1"/>
      <w:numFmt w:val="decimal"/>
      <w:lvlText w:val="%9."/>
      <w:lvlJc w:val="left"/>
      <w:pPr>
        <w:tabs>
          <w:tab w:val="left" w:pos="6900"/>
        </w:tabs>
        <w:ind w:left="6900" w:hanging="360"/>
      </w:pPr>
    </w:lvl>
  </w:abstractNum>
  <w:abstractNum w:abstractNumId="5">
    <w:nsid w:val="2BA63062"/>
    <w:multiLevelType w:val="multilevel"/>
    <w:tmpl w:val="2BA63062"/>
    <w:lvl w:ilvl="0" w:tentative="0">
      <w:start w:val="1"/>
      <w:numFmt w:val="lowerRoman"/>
      <w:lvlText w:val="%1."/>
      <w:lvlJc w:val="left"/>
      <w:pPr>
        <w:tabs>
          <w:tab w:val="left" w:pos="2105"/>
        </w:tabs>
        <w:ind w:left="2105" w:hanging="425"/>
      </w:pPr>
      <w:rPr>
        <w:rFonts w:hint="default" w:ascii="Times New Roman" w:hAnsi="Times New Roman" w:cs="Times New Roman"/>
      </w:rPr>
    </w:lvl>
    <w:lvl w:ilvl="1" w:tentative="0">
      <w:start w:val="1"/>
      <w:numFmt w:val="decimal"/>
      <w:lvlText w:val="%2."/>
      <w:lvlJc w:val="left"/>
      <w:pPr>
        <w:tabs>
          <w:tab w:val="left" w:pos="1860"/>
        </w:tabs>
        <w:ind w:left="1860" w:hanging="360"/>
      </w:pPr>
    </w:lvl>
    <w:lvl w:ilvl="2" w:tentative="0">
      <w:start w:val="1"/>
      <w:numFmt w:val="decimal"/>
      <w:lvlText w:val="%3."/>
      <w:lvlJc w:val="left"/>
      <w:pPr>
        <w:tabs>
          <w:tab w:val="left" w:pos="2580"/>
        </w:tabs>
        <w:ind w:left="2580" w:hanging="360"/>
      </w:pPr>
    </w:lvl>
    <w:lvl w:ilvl="3" w:tentative="0">
      <w:start w:val="1"/>
      <w:numFmt w:val="decimal"/>
      <w:lvlText w:val="%4."/>
      <w:lvlJc w:val="left"/>
      <w:pPr>
        <w:tabs>
          <w:tab w:val="left" w:pos="3300"/>
        </w:tabs>
        <w:ind w:left="3300" w:hanging="360"/>
      </w:pPr>
    </w:lvl>
    <w:lvl w:ilvl="4" w:tentative="0">
      <w:start w:val="1"/>
      <w:numFmt w:val="decimal"/>
      <w:lvlText w:val="%5."/>
      <w:lvlJc w:val="left"/>
      <w:pPr>
        <w:tabs>
          <w:tab w:val="left" w:pos="4020"/>
        </w:tabs>
        <w:ind w:left="4020" w:hanging="360"/>
      </w:pPr>
    </w:lvl>
    <w:lvl w:ilvl="5" w:tentative="0">
      <w:start w:val="1"/>
      <w:numFmt w:val="decimal"/>
      <w:lvlText w:val="%6."/>
      <w:lvlJc w:val="left"/>
      <w:pPr>
        <w:tabs>
          <w:tab w:val="left" w:pos="4740"/>
        </w:tabs>
        <w:ind w:left="4740" w:hanging="360"/>
      </w:pPr>
    </w:lvl>
    <w:lvl w:ilvl="6" w:tentative="0">
      <w:start w:val="1"/>
      <w:numFmt w:val="decimal"/>
      <w:lvlText w:val="%7."/>
      <w:lvlJc w:val="left"/>
      <w:pPr>
        <w:tabs>
          <w:tab w:val="left" w:pos="5460"/>
        </w:tabs>
        <w:ind w:left="5460" w:hanging="360"/>
      </w:pPr>
    </w:lvl>
    <w:lvl w:ilvl="7" w:tentative="0">
      <w:start w:val="1"/>
      <w:numFmt w:val="decimal"/>
      <w:lvlText w:val="%8."/>
      <w:lvlJc w:val="left"/>
      <w:pPr>
        <w:tabs>
          <w:tab w:val="left" w:pos="6180"/>
        </w:tabs>
        <w:ind w:left="6180" w:hanging="360"/>
      </w:pPr>
    </w:lvl>
    <w:lvl w:ilvl="8" w:tentative="0">
      <w:start w:val="1"/>
      <w:numFmt w:val="decimal"/>
      <w:lvlText w:val="%9."/>
      <w:lvlJc w:val="left"/>
      <w:pPr>
        <w:tabs>
          <w:tab w:val="left" w:pos="6900"/>
        </w:tabs>
        <w:ind w:left="6900" w:hanging="360"/>
      </w:pPr>
    </w:lvl>
  </w:abstractNum>
  <w:abstractNum w:abstractNumId="6">
    <w:nsid w:val="36912535"/>
    <w:multiLevelType w:val="multilevel"/>
    <w:tmpl w:val="36912535"/>
    <w:lvl w:ilvl="0" w:tentative="0">
      <w:start w:val="1"/>
      <w:numFmt w:val="decimal"/>
      <w:lvlText w:val="%1."/>
      <w:lvlJc w:val="left"/>
      <w:pPr>
        <w:tabs>
          <w:tab w:val="left" w:pos="1140"/>
        </w:tabs>
        <w:ind w:left="1140" w:hanging="360"/>
      </w:pPr>
      <w:rPr>
        <w:rFonts w:hint="default" w:ascii="Times New Roman" w:hAnsi="Times New Roman" w:cs="Times New Roman"/>
        <w:sz w:val="24"/>
        <w:szCs w:val="24"/>
      </w:rPr>
    </w:lvl>
    <w:lvl w:ilvl="1" w:tentative="0">
      <w:start w:val="1"/>
      <w:numFmt w:val="decimal"/>
      <w:lvlText w:val="%2."/>
      <w:lvlJc w:val="left"/>
      <w:pPr>
        <w:tabs>
          <w:tab w:val="left" w:pos="1860"/>
        </w:tabs>
        <w:ind w:left="1860" w:hanging="360"/>
      </w:pPr>
      <w:rPr>
        <w:rFonts w:hint="default" w:ascii="Times New Roman" w:hAnsi="Times New Roman" w:cs="Times New Roman"/>
        <w:sz w:val="24"/>
        <w:szCs w:val="24"/>
      </w:rPr>
    </w:lvl>
    <w:lvl w:ilvl="2" w:tentative="0">
      <w:start w:val="1"/>
      <w:numFmt w:val="decimal"/>
      <w:lvlText w:val="%3."/>
      <w:lvlJc w:val="left"/>
      <w:pPr>
        <w:tabs>
          <w:tab w:val="left" w:pos="2580"/>
        </w:tabs>
        <w:ind w:left="2580" w:hanging="360"/>
      </w:pPr>
      <w:rPr>
        <w:rFonts w:hint="default" w:ascii="Times New Roman" w:hAnsi="Times New Roman" w:cs="Times New Roman"/>
        <w:sz w:val="24"/>
        <w:szCs w:val="24"/>
      </w:rPr>
    </w:lvl>
    <w:lvl w:ilvl="3" w:tentative="0">
      <w:start w:val="1"/>
      <w:numFmt w:val="decimal"/>
      <w:lvlText w:val="%4."/>
      <w:lvlJc w:val="left"/>
      <w:pPr>
        <w:tabs>
          <w:tab w:val="left" w:pos="2937"/>
        </w:tabs>
        <w:ind w:left="3300" w:hanging="360"/>
      </w:pPr>
      <w:rPr>
        <w:rFonts w:hint="default" w:ascii="Times New Roman" w:hAnsi="Times New Roman" w:cs="Times New Roman"/>
        <w:sz w:val="24"/>
        <w:szCs w:val="24"/>
      </w:rPr>
    </w:lvl>
    <w:lvl w:ilvl="4" w:tentative="0">
      <w:start w:val="1"/>
      <w:numFmt w:val="decimal"/>
      <w:lvlText w:val="%5."/>
      <w:lvlJc w:val="left"/>
      <w:pPr>
        <w:tabs>
          <w:tab w:val="left" w:pos="3658"/>
        </w:tabs>
        <w:ind w:left="4020" w:hanging="360"/>
      </w:pPr>
      <w:rPr>
        <w:rFonts w:hint="default" w:ascii="Times New Roman" w:hAnsi="Times New Roman" w:cs="Times New Roman"/>
        <w:sz w:val="24"/>
        <w:szCs w:val="24"/>
      </w:rPr>
    </w:lvl>
    <w:lvl w:ilvl="5" w:tentative="0">
      <w:start w:val="1"/>
      <w:numFmt w:val="decimal"/>
      <w:lvlText w:val="%6."/>
      <w:lvlJc w:val="left"/>
      <w:pPr>
        <w:tabs>
          <w:tab w:val="left" w:pos="4378"/>
        </w:tabs>
        <w:ind w:left="4740" w:hanging="360"/>
      </w:pPr>
      <w:rPr>
        <w:rFonts w:hint="default" w:ascii="Times New Roman" w:hAnsi="Times New Roman" w:cs="Times New Roman"/>
        <w:sz w:val="24"/>
        <w:szCs w:val="24"/>
      </w:rPr>
    </w:lvl>
    <w:lvl w:ilvl="6" w:tentative="0">
      <w:start w:val="1"/>
      <w:numFmt w:val="decimal"/>
      <w:lvlText w:val="%7."/>
      <w:lvlJc w:val="left"/>
      <w:pPr>
        <w:tabs>
          <w:tab w:val="left" w:pos="5098"/>
        </w:tabs>
        <w:ind w:left="5460" w:hanging="360"/>
      </w:pPr>
      <w:rPr>
        <w:rFonts w:hint="default" w:ascii="Times New Roman" w:hAnsi="Times New Roman" w:cs="Times New Roman"/>
        <w:sz w:val="24"/>
        <w:szCs w:val="24"/>
      </w:rPr>
    </w:lvl>
    <w:lvl w:ilvl="7" w:tentative="0">
      <w:start w:val="1"/>
      <w:numFmt w:val="decimal"/>
      <w:lvlText w:val="%8."/>
      <w:lvlJc w:val="left"/>
      <w:pPr>
        <w:tabs>
          <w:tab w:val="left" w:pos="5818"/>
        </w:tabs>
        <w:ind w:left="6180" w:hanging="360"/>
      </w:pPr>
      <w:rPr>
        <w:rFonts w:hint="default" w:ascii="Times New Roman" w:hAnsi="Times New Roman" w:cs="Times New Roman"/>
        <w:sz w:val="24"/>
        <w:szCs w:val="24"/>
      </w:rPr>
    </w:lvl>
    <w:lvl w:ilvl="8" w:tentative="0">
      <w:start w:val="1"/>
      <w:numFmt w:val="decimal"/>
      <w:lvlText w:val="%9."/>
      <w:lvlJc w:val="left"/>
      <w:pPr>
        <w:tabs>
          <w:tab w:val="left" w:pos="6538"/>
        </w:tabs>
        <w:ind w:left="6900" w:hanging="360"/>
      </w:pPr>
      <w:rPr>
        <w:rFonts w:hint="default" w:ascii="Times New Roman" w:hAnsi="Times New Roman" w:cs="Times New Roman"/>
        <w:sz w:val="24"/>
        <w:szCs w:val="24"/>
      </w:rPr>
    </w:lvl>
  </w:abstractNum>
  <w:abstractNum w:abstractNumId="7">
    <w:nsid w:val="4E043E39"/>
    <w:multiLevelType w:val="multilevel"/>
    <w:tmpl w:val="4E043E39"/>
    <w:lvl w:ilvl="0" w:tentative="0">
      <w:start w:val="1"/>
      <w:numFmt w:val="lowerLetter"/>
      <w:suff w:val="space"/>
      <w:lvlText w:val="(%1)"/>
      <w:lvlJc w:val="left"/>
      <w:pPr>
        <w:ind w:left="108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5E970800"/>
    <w:multiLevelType w:val="multilevel"/>
    <w:tmpl w:val="5E970800"/>
    <w:lvl w:ilvl="0" w:tentative="0">
      <w:start w:val="1"/>
      <w:numFmt w:val="lowerLetter"/>
      <w:lvlText w:val="%1)"/>
      <w:lvlJc w:val="left"/>
      <w:pPr>
        <w:tabs>
          <w:tab w:val="left" w:pos="1685"/>
        </w:tabs>
        <w:ind w:left="1685" w:hanging="425"/>
      </w:pPr>
      <w:rPr>
        <w:rFonts w:hint="default" w:ascii="Times New Roman" w:hAnsi="Times New Roman" w:cs="Times New Roman"/>
      </w:rPr>
    </w:lvl>
    <w:lvl w:ilvl="1" w:tentative="0">
      <w:start w:val="1"/>
      <w:numFmt w:val="decimal"/>
      <w:lvlText w:val="%2."/>
      <w:lvlJc w:val="left"/>
      <w:pPr>
        <w:tabs>
          <w:tab w:val="left" w:pos="1860"/>
        </w:tabs>
        <w:ind w:left="1860" w:hanging="360"/>
      </w:pPr>
    </w:lvl>
    <w:lvl w:ilvl="2" w:tentative="0">
      <w:start w:val="1"/>
      <w:numFmt w:val="decimal"/>
      <w:lvlText w:val="%3."/>
      <w:lvlJc w:val="left"/>
      <w:pPr>
        <w:tabs>
          <w:tab w:val="left" w:pos="2580"/>
        </w:tabs>
        <w:ind w:left="2580" w:hanging="360"/>
      </w:pPr>
    </w:lvl>
    <w:lvl w:ilvl="3" w:tentative="0">
      <w:start w:val="1"/>
      <w:numFmt w:val="decimal"/>
      <w:lvlText w:val="%4."/>
      <w:lvlJc w:val="left"/>
      <w:pPr>
        <w:tabs>
          <w:tab w:val="left" w:pos="3300"/>
        </w:tabs>
        <w:ind w:left="3300" w:hanging="360"/>
      </w:pPr>
    </w:lvl>
    <w:lvl w:ilvl="4" w:tentative="0">
      <w:start w:val="1"/>
      <w:numFmt w:val="decimal"/>
      <w:lvlText w:val="%5."/>
      <w:lvlJc w:val="left"/>
      <w:pPr>
        <w:tabs>
          <w:tab w:val="left" w:pos="4020"/>
        </w:tabs>
        <w:ind w:left="4020" w:hanging="360"/>
      </w:pPr>
    </w:lvl>
    <w:lvl w:ilvl="5" w:tentative="0">
      <w:start w:val="1"/>
      <w:numFmt w:val="decimal"/>
      <w:lvlText w:val="%6."/>
      <w:lvlJc w:val="left"/>
      <w:pPr>
        <w:tabs>
          <w:tab w:val="left" w:pos="4740"/>
        </w:tabs>
        <w:ind w:left="4740" w:hanging="360"/>
      </w:pPr>
    </w:lvl>
    <w:lvl w:ilvl="6" w:tentative="0">
      <w:start w:val="1"/>
      <w:numFmt w:val="decimal"/>
      <w:lvlText w:val="%7."/>
      <w:lvlJc w:val="left"/>
      <w:pPr>
        <w:tabs>
          <w:tab w:val="left" w:pos="5460"/>
        </w:tabs>
        <w:ind w:left="5460" w:hanging="360"/>
      </w:pPr>
    </w:lvl>
    <w:lvl w:ilvl="7" w:tentative="0">
      <w:start w:val="1"/>
      <w:numFmt w:val="decimal"/>
      <w:lvlText w:val="%8."/>
      <w:lvlJc w:val="left"/>
      <w:pPr>
        <w:tabs>
          <w:tab w:val="left" w:pos="6180"/>
        </w:tabs>
        <w:ind w:left="6180" w:hanging="360"/>
      </w:pPr>
    </w:lvl>
    <w:lvl w:ilvl="8" w:tentative="0">
      <w:start w:val="1"/>
      <w:numFmt w:val="decimal"/>
      <w:lvlText w:val="%9."/>
      <w:lvlJc w:val="left"/>
      <w:pPr>
        <w:tabs>
          <w:tab w:val="left" w:pos="6900"/>
        </w:tabs>
        <w:ind w:left="6900" w:hanging="360"/>
      </w:pPr>
    </w:lvl>
  </w:abstractNum>
  <w:abstractNum w:abstractNumId="9">
    <w:nsid w:val="63E9377D"/>
    <w:multiLevelType w:val="multilevel"/>
    <w:tmpl w:val="63E9377D"/>
    <w:lvl w:ilvl="0" w:tentative="0">
      <w:start w:val="1"/>
      <w:numFmt w:val="lowerLetter"/>
      <w:lvlText w:val="%1)"/>
      <w:lvlJc w:val="left"/>
      <w:pPr>
        <w:tabs>
          <w:tab w:val="left" w:pos="1265"/>
        </w:tabs>
        <w:ind w:left="126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6AC67F71"/>
    <w:multiLevelType w:val="multilevel"/>
    <w:tmpl w:val="6AC67F71"/>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6D9129A9"/>
    <w:multiLevelType w:val="multilevel"/>
    <w:tmpl w:val="6D9129A9"/>
    <w:lvl w:ilvl="0" w:tentative="0">
      <w:start w:val="1"/>
      <w:numFmt w:val="lowerLetter"/>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793E1E59"/>
    <w:multiLevelType w:val="multilevel"/>
    <w:tmpl w:val="793E1E59"/>
    <w:lvl w:ilvl="0" w:tentative="0">
      <w:start w:val="1"/>
      <w:numFmt w:val="lowerRoman"/>
      <w:lvlText w:val="%1."/>
      <w:lvlJc w:val="left"/>
      <w:pPr>
        <w:tabs>
          <w:tab w:val="left" w:pos="2105"/>
        </w:tabs>
        <w:ind w:left="2105" w:hanging="425"/>
      </w:pPr>
      <w:rPr>
        <w:rFonts w:hint="default" w:ascii="Times New Roman" w:hAnsi="Times New Roman" w:cs="Times New Roman"/>
      </w:rPr>
    </w:lvl>
    <w:lvl w:ilvl="1" w:tentative="0">
      <w:start w:val="1"/>
      <w:numFmt w:val="decimal"/>
      <w:lvlText w:val="%2."/>
      <w:lvlJc w:val="left"/>
      <w:pPr>
        <w:tabs>
          <w:tab w:val="left" w:pos="1860"/>
        </w:tabs>
        <w:ind w:left="1860" w:hanging="360"/>
      </w:pPr>
    </w:lvl>
    <w:lvl w:ilvl="2" w:tentative="0">
      <w:start w:val="1"/>
      <w:numFmt w:val="decimal"/>
      <w:lvlText w:val="%3."/>
      <w:lvlJc w:val="left"/>
      <w:pPr>
        <w:tabs>
          <w:tab w:val="left" w:pos="2580"/>
        </w:tabs>
        <w:ind w:left="2580" w:hanging="360"/>
      </w:pPr>
    </w:lvl>
    <w:lvl w:ilvl="3" w:tentative="0">
      <w:start w:val="1"/>
      <w:numFmt w:val="decimal"/>
      <w:lvlText w:val="%4."/>
      <w:lvlJc w:val="left"/>
      <w:pPr>
        <w:tabs>
          <w:tab w:val="left" w:pos="3300"/>
        </w:tabs>
        <w:ind w:left="3300" w:hanging="360"/>
      </w:pPr>
    </w:lvl>
    <w:lvl w:ilvl="4" w:tentative="0">
      <w:start w:val="1"/>
      <w:numFmt w:val="decimal"/>
      <w:lvlText w:val="%5."/>
      <w:lvlJc w:val="left"/>
      <w:pPr>
        <w:tabs>
          <w:tab w:val="left" w:pos="4020"/>
        </w:tabs>
        <w:ind w:left="4020" w:hanging="360"/>
      </w:pPr>
    </w:lvl>
    <w:lvl w:ilvl="5" w:tentative="0">
      <w:start w:val="1"/>
      <w:numFmt w:val="decimal"/>
      <w:lvlText w:val="%6."/>
      <w:lvlJc w:val="left"/>
      <w:pPr>
        <w:tabs>
          <w:tab w:val="left" w:pos="4740"/>
        </w:tabs>
        <w:ind w:left="4740" w:hanging="360"/>
      </w:pPr>
    </w:lvl>
    <w:lvl w:ilvl="6" w:tentative="0">
      <w:start w:val="1"/>
      <w:numFmt w:val="decimal"/>
      <w:lvlText w:val="%7."/>
      <w:lvlJc w:val="left"/>
      <w:pPr>
        <w:tabs>
          <w:tab w:val="left" w:pos="5460"/>
        </w:tabs>
        <w:ind w:left="5460" w:hanging="360"/>
      </w:pPr>
    </w:lvl>
    <w:lvl w:ilvl="7" w:tentative="0">
      <w:start w:val="1"/>
      <w:numFmt w:val="decimal"/>
      <w:lvlText w:val="%8."/>
      <w:lvlJc w:val="left"/>
      <w:pPr>
        <w:tabs>
          <w:tab w:val="left" w:pos="6180"/>
        </w:tabs>
        <w:ind w:left="6180" w:hanging="360"/>
      </w:pPr>
    </w:lvl>
    <w:lvl w:ilvl="8" w:tentative="0">
      <w:start w:val="1"/>
      <w:numFmt w:val="decimal"/>
      <w:lvlText w:val="%9."/>
      <w:lvlJc w:val="left"/>
      <w:pPr>
        <w:tabs>
          <w:tab w:val="left" w:pos="6900"/>
        </w:tabs>
        <w:ind w:left="6900" w:hanging="360"/>
      </w:pPr>
    </w:lvl>
  </w:abstractNum>
  <w:abstractNum w:abstractNumId="13">
    <w:nsid w:val="7BA53174"/>
    <w:multiLevelType w:val="multilevel"/>
    <w:tmpl w:val="7BA53174"/>
    <w:lvl w:ilvl="0" w:tentative="0">
      <w:start w:val="1"/>
      <w:numFmt w:val="lowerLetter"/>
      <w:lvlText w:val="%1)"/>
      <w:lvlJc w:val="left"/>
      <w:pPr>
        <w:tabs>
          <w:tab w:val="left" w:pos="1685"/>
        </w:tabs>
        <w:ind w:left="1685" w:hanging="425"/>
      </w:pPr>
      <w:rPr>
        <w:rFonts w:hint="default" w:ascii="Times New Roman" w:hAnsi="Times New Roman" w:cs="Times New Roman"/>
      </w:rPr>
    </w:lvl>
    <w:lvl w:ilvl="1" w:tentative="0">
      <w:start w:val="1"/>
      <w:numFmt w:val="decimal"/>
      <w:lvlText w:val="%2."/>
      <w:lvlJc w:val="left"/>
      <w:pPr>
        <w:tabs>
          <w:tab w:val="left" w:pos="1860"/>
        </w:tabs>
        <w:ind w:left="1860" w:hanging="360"/>
      </w:pPr>
    </w:lvl>
    <w:lvl w:ilvl="2" w:tentative="0">
      <w:start w:val="1"/>
      <w:numFmt w:val="decimal"/>
      <w:lvlText w:val="%3."/>
      <w:lvlJc w:val="left"/>
      <w:pPr>
        <w:tabs>
          <w:tab w:val="left" w:pos="2580"/>
        </w:tabs>
        <w:ind w:left="2580" w:hanging="360"/>
      </w:pPr>
    </w:lvl>
    <w:lvl w:ilvl="3" w:tentative="0">
      <w:start w:val="1"/>
      <w:numFmt w:val="decimal"/>
      <w:lvlText w:val="%4."/>
      <w:lvlJc w:val="left"/>
      <w:pPr>
        <w:tabs>
          <w:tab w:val="left" w:pos="3300"/>
        </w:tabs>
        <w:ind w:left="3300" w:hanging="360"/>
      </w:pPr>
    </w:lvl>
    <w:lvl w:ilvl="4" w:tentative="0">
      <w:start w:val="1"/>
      <w:numFmt w:val="decimal"/>
      <w:lvlText w:val="%5."/>
      <w:lvlJc w:val="left"/>
      <w:pPr>
        <w:tabs>
          <w:tab w:val="left" w:pos="4020"/>
        </w:tabs>
        <w:ind w:left="4020" w:hanging="360"/>
      </w:pPr>
    </w:lvl>
    <w:lvl w:ilvl="5" w:tentative="0">
      <w:start w:val="1"/>
      <w:numFmt w:val="decimal"/>
      <w:lvlText w:val="%6."/>
      <w:lvlJc w:val="left"/>
      <w:pPr>
        <w:tabs>
          <w:tab w:val="left" w:pos="4740"/>
        </w:tabs>
        <w:ind w:left="4740" w:hanging="360"/>
      </w:pPr>
    </w:lvl>
    <w:lvl w:ilvl="6" w:tentative="0">
      <w:start w:val="1"/>
      <w:numFmt w:val="decimal"/>
      <w:lvlText w:val="%7."/>
      <w:lvlJc w:val="left"/>
      <w:pPr>
        <w:tabs>
          <w:tab w:val="left" w:pos="5460"/>
        </w:tabs>
        <w:ind w:left="5460" w:hanging="360"/>
      </w:pPr>
    </w:lvl>
    <w:lvl w:ilvl="7" w:tentative="0">
      <w:start w:val="1"/>
      <w:numFmt w:val="decimal"/>
      <w:lvlText w:val="%8."/>
      <w:lvlJc w:val="left"/>
      <w:pPr>
        <w:tabs>
          <w:tab w:val="left" w:pos="6180"/>
        </w:tabs>
        <w:ind w:left="6180" w:hanging="360"/>
      </w:pPr>
    </w:lvl>
    <w:lvl w:ilvl="8" w:tentative="0">
      <w:start w:val="1"/>
      <w:numFmt w:val="decimal"/>
      <w:lvlText w:val="%9."/>
      <w:lvlJc w:val="left"/>
      <w:pPr>
        <w:tabs>
          <w:tab w:val="left" w:pos="6900"/>
        </w:tabs>
        <w:ind w:left="690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80"/>
  <w:drawingGridHorizontalSpacing w:val="1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28"/>
    <w:rsid w:val="00263546"/>
    <w:rsid w:val="0031633A"/>
    <w:rsid w:val="003A2821"/>
    <w:rsid w:val="004C0328"/>
    <w:rsid w:val="00A97FEF"/>
    <w:rsid w:val="00D13A0D"/>
    <w:rsid w:val="05CD6DBA"/>
    <w:rsid w:val="0AB37175"/>
    <w:rsid w:val="0CE151CB"/>
    <w:rsid w:val="103F2F81"/>
    <w:rsid w:val="1B9C4EDA"/>
    <w:rsid w:val="25203213"/>
    <w:rsid w:val="462A5165"/>
    <w:rsid w:val="53856213"/>
    <w:rsid w:val="593D7B80"/>
    <w:rsid w:val="60FD697A"/>
    <w:rsid w:val="68FF2DA3"/>
    <w:rsid w:val="6B2E2185"/>
    <w:rsid w:val="6B576D51"/>
    <w:rsid w:val="718428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kern w:val="0"/>
      <w:sz w:val="20"/>
      <w:szCs w:val="20"/>
      <w:lang w:val="en-US" w:eastAsia="zh-TW"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qFormat/>
    <w:uiPriority w:val="99"/>
    <w:pPr>
      <w:tabs>
        <w:tab w:val="center" w:pos="4153"/>
        <w:tab w:val="right" w:pos="8306"/>
      </w:tabs>
      <w:snapToGrid w:val="0"/>
      <w:jc w:val="left"/>
    </w:pPr>
    <w:rPr>
      <w:sz w:val="18"/>
      <w:szCs w:val="18"/>
    </w:rPr>
  </w:style>
  <w:style w:type="paragraph" w:styleId="5">
    <w:name w:val="header"/>
    <w:basedOn w:val="1"/>
    <w:semiHidden/>
    <w:unhideWhenUsed/>
    <w:qFormat/>
    <w:uiPriority w:val="99"/>
    <w:pPr>
      <w:tabs>
        <w:tab w:val="center" w:pos="4153"/>
        <w:tab w:val="right" w:pos="8306"/>
      </w:tabs>
      <w:snapToGrid w:val="0"/>
    </w:pPr>
    <w:rPr>
      <w:sz w:val="18"/>
      <w:szCs w:val="18"/>
    </w:rPr>
  </w:style>
  <w:style w:type="paragraph" w:customStyle="1" w:styleId="6">
    <w:name w:val="Normal1"/>
    <w:qFormat/>
    <w:uiPriority w:val="0"/>
    <w:pPr>
      <w:widowControl w:val="0"/>
    </w:pPr>
    <w:rPr>
      <w:rFonts w:ascii="Times New Roman" w:hAnsi="Times New Roman" w:eastAsia="新細明體" w:cs="Times New Roman"/>
      <w:kern w:val="2"/>
      <w:sz w:val="24"/>
      <w:szCs w:val="24"/>
      <w:lang w:val="en-US" w:eastAsia="zh-TW" w:bidi="ar-SA"/>
    </w:rPr>
  </w:style>
  <w:style w:type="paragraph" w:customStyle="1" w:styleId="7">
    <w:name w:val="Default"/>
    <w:basedOn w:val="1"/>
    <w:qFormat/>
    <w:uiPriority w:val="0"/>
    <w:pPr>
      <w:autoSpaceDE w:val="0"/>
      <w:autoSpaceDN w:val="0"/>
      <w:adjustRightInd w:val="0"/>
    </w:pPr>
    <w:rPr>
      <w:rFonts w:ascii="標楷體" w:hAnsi="Calibri" w:eastAsia="標楷體" w:cs="新細明體"/>
      <w:color w:val="000000"/>
      <w:sz w:val="24"/>
      <w:szCs w:val="24"/>
    </w:rPr>
  </w:style>
  <w:style w:type="paragraph" w:customStyle="1" w:styleId="8">
    <w:name w:val="msolistparagraph"/>
    <w:basedOn w:val="1"/>
    <w:qFormat/>
    <w:uiPriority w:val="0"/>
    <w:pPr>
      <w:ind w:left="480" w:leftChars="200"/>
    </w:pPr>
    <w:rPr>
      <w:rFonts w:ascii="Calibri" w:hAnsi="Calibri" w:eastAsia="新細明體"/>
      <w:kern w:val="2"/>
      <w:sz w:val="24"/>
      <w:szCs w:val="24"/>
    </w:rPr>
  </w:style>
  <w:style w:type="paragraph" w:customStyle="1" w:styleId="9">
    <w:name w:val="Normal (Web)1"/>
    <w:basedOn w:val="1"/>
    <w:qFormat/>
    <w:uiPriority w:val="0"/>
    <w:pPr>
      <w:widowControl/>
      <w:spacing w:before="100" w:beforeAutospacing="1" w:after="100" w:afterAutospacing="1"/>
    </w:pPr>
    <w:rPr>
      <w:rFonts w:ascii="新細明體" w:hAnsi="新細明體" w:eastAsia="新細明體" w:cs="新細明體"/>
      <w:color w:val="000000"/>
      <w:sz w:val="24"/>
      <w:szCs w:val="24"/>
    </w:rPr>
  </w:style>
  <w:style w:type="character" w:customStyle="1" w:styleId="10">
    <w:name w:val="15"/>
    <w:basedOn w:val="2"/>
    <w:qFormat/>
    <w:uiPriority w:val="0"/>
    <w:rPr>
      <w:rFonts w:hint="default" w:ascii="Times New Roman" w:hAnsi="Times New Roman" w:cs="Times New Roman"/>
      <w:b/>
      <w:bCs/>
    </w:rPr>
  </w:style>
  <w:style w:type="table" w:customStyle="1" w:styleId="11">
    <w:name w:val="Table Grid1"/>
    <w:basedOn w:val="3"/>
    <w:qFormat/>
    <w:uiPriority w:val="0"/>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2243</Words>
  <Characters>12787</Characters>
  <Lines>106</Lines>
  <Paragraphs>29</Paragraphs>
  <TotalTime>14</TotalTime>
  <ScaleCrop>false</ScaleCrop>
  <LinksUpToDate>false</LinksUpToDate>
  <CharactersWithSpaces>15001</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2024-08-13T05:49:00Z</dcterms:created>
  <dc:creator>user</dc:creator>
  <cp:lastModifiedBy>user</cp:lastModifiedBy>
  <dcterms:modified xsi:type="dcterms:W3CDTF">2024-11-08T17:24:41Z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DD6FC2E8AF1E4F1C9A43A249EADDD697_12</vt:lpwstr>
  </property>
</Properties>
</file>